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1484A" w14:textId="5A89E79E" w:rsidR="00E90E49" w:rsidRPr="00CE0424" w:rsidRDefault="00E90E49" w:rsidP="00E35559">
      <w:pPr>
        <w:pStyle w:val="3GPPHeader"/>
        <w:spacing w:after="60"/>
        <w:rPr>
          <w:sz w:val="32"/>
          <w:szCs w:val="32"/>
          <w:highlight w:val="yellow"/>
        </w:rPr>
      </w:pPr>
      <w:bookmarkStart w:id="0" w:name="_Hlk54275161"/>
      <w:bookmarkStart w:id="1" w:name="_GoBack"/>
      <w:bookmarkEnd w:id="0"/>
      <w:bookmarkEnd w:id="1"/>
      <w:r w:rsidRPr="00CE0424">
        <w:t>3GPP TSG-RAN WG</w:t>
      </w:r>
      <w:r w:rsidR="00F20F5C">
        <w:t>2</w:t>
      </w:r>
      <w:r w:rsidRPr="00CE0424">
        <w:t xml:space="preserve"> #</w:t>
      </w:r>
      <w:r w:rsidR="00F20F5C">
        <w:t>1</w:t>
      </w:r>
      <w:r w:rsidR="00C268E6">
        <w:t>1</w:t>
      </w:r>
      <w:r w:rsidR="00EC34F8">
        <w:t>3</w:t>
      </w:r>
      <w:r w:rsidR="00F20F5C">
        <w:t>e</w:t>
      </w:r>
      <w:r w:rsidRPr="00CE0424">
        <w:tab/>
      </w:r>
      <w:r w:rsidR="00776D94">
        <w:rPr>
          <w:sz w:val="32"/>
          <w:szCs w:val="32"/>
        </w:rPr>
        <w:t xml:space="preserve">Tdoc </w:t>
      </w:r>
      <w:r w:rsidR="00A21D3C" w:rsidRPr="00A21D3C">
        <w:rPr>
          <w:sz w:val="32"/>
          <w:szCs w:val="32"/>
        </w:rPr>
        <w:t>R2-2101095</w:t>
      </w:r>
    </w:p>
    <w:p w14:paraId="0CEF36EC" w14:textId="78A9949D" w:rsidR="00E90E49" w:rsidRPr="00CE0424" w:rsidRDefault="00C268E6" w:rsidP="00311702">
      <w:pPr>
        <w:pStyle w:val="3GPPHeader"/>
      </w:pPr>
      <w:r>
        <w:t xml:space="preserve">Electronic meeting, </w:t>
      </w:r>
      <w:r w:rsidR="00EC34F8">
        <w:t>January</w:t>
      </w:r>
      <w:r w:rsidR="001D4589">
        <w:t xml:space="preserve"> 2</w:t>
      </w:r>
      <w:r w:rsidR="006B06CB">
        <w:t>5</w:t>
      </w:r>
      <w:r w:rsidR="006B06CB">
        <w:rPr>
          <w:vertAlign w:val="superscript"/>
        </w:rPr>
        <w:t>th</w:t>
      </w:r>
      <w:r w:rsidR="001D4589">
        <w:t xml:space="preserve"> – </w:t>
      </w:r>
      <w:r w:rsidR="006B06CB">
        <w:t>February 5</w:t>
      </w:r>
      <w:r w:rsidR="001D4589" w:rsidRPr="001D4589">
        <w:rPr>
          <w:vertAlign w:val="superscript"/>
        </w:rPr>
        <w:t>th</w:t>
      </w:r>
      <w:r w:rsidR="00E75693">
        <w:t xml:space="preserve">, </w:t>
      </w:r>
      <w:r>
        <w:t>202</w:t>
      </w:r>
      <w:r w:rsidR="00EC34F8">
        <w:t>1</w:t>
      </w:r>
    </w:p>
    <w:p w14:paraId="501AAEC3" w14:textId="77777777" w:rsidR="00E90E49" w:rsidRPr="00CE0424" w:rsidRDefault="00E90E49" w:rsidP="00357380">
      <w:pPr>
        <w:pStyle w:val="3GPPHeader"/>
      </w:pPr>
    </w:p>
    <w:p w14:paraId="2AAF3D11" w14:textId="24A1044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3088">
        <w:rPr>
          <w:sz w:val="22"/>
          <w:szCs w:val="22"/>
        </w:rPr>
        <w:t>8.2</w:t>
      </w:r>
      <w:r w:rsidR="002F7F2A">
        <w:rPr>
          <w:sz w:val="22"/>
          <w:szCs w:val="22"/>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49BB4BF9" w:rsidR="00E90E49" w:rsidRPr="00CE0424" w:rsidRDefault="003D3C45" w:rsidP="00311702">
      <w:pPr>
        <w:pStyle w:val="3GPPHeader"/>
        <w:rPr>
          <w:sz w:val="22"/>
          <w:szCs w:val="22"/>
        </w:rPr>
      </w:pPr>
      <w:r>
        <w:rPr>
          <w:sz w:val="22"/>
          <w:szCs w:val="22"/>
        </w:rPr>
        <w:t>Title:</w:t>
      </w:r>
      <w:r w:rsidR="00E90E49" w:rsidRPr="00CE0424">
        <w:rPr>
          <w:sz w:val="22"/>
          <w:szCs w:val="22"/>
        </w:rPr>
        <w:tab/>
      </w:r>
      <w:r w:rsidR="00023F06">
        <w:rPr>
          <w:sz w:val="22"/>
          <w:szCs w:val="22"/>
        </w:rPr>
        <w:t>On the need for random access during SCG activation</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7777777" w:rsidR="00E90E49" w:rsidRPr="000A7531" w:rsidRDefault="00230D18" w:rsidP="00CE0424">
      <w:pPr>
        <w:pStyle w:val="Heading1"/>
      </w:pPr>
      <w:r w:rsidRPr="000A7531">
        <w:t>1</w:t>
      </w:r>
      <w:r w:rsidRPr="000A7531">
        <w:tab/>
      </w:r>
      <w:r w:rsidR="00E90E49" w:rsidRPr="000A7531">
        <w:t>Introduction</w:t>
      </w:r>
    </w:p>
    <w:p w14:paraId="5AB17F5F" w14:textId="3AA259C1" w:rsidR="00023F06" w:rsidRDefault="0093498D" w:rsidP="00CE0424">
      <w:pPr>
        <w:pStyle w:val="BodyText"/>
      </w:pPr>
      <w:r>
        <w:t xml:space="preserve">In this contribution we discuss the </w:t>
      </w:r>
      <w:r w:rsidR="00CA2060">
        <w:t>following FFS from RAN2#112-e:</w:t>
      </w:r>
    </w:p>
    <w:p w14:paraId="4A6B485F" w14:textId="2E016516" w:rsidR="00CA2060" w:rsidRPr="00B814F4" w:rsidRDefault="00CA2060" w:rsidP="002C7158">
      <w:pPr>
        <w:pStyle w:val="BodyText"/>
        <w:numPr>
          <w:ilvl w:val="1"/>
          <w:numId w:val="19"/>
        </w:numPr>
      </w:pPr>
      <w:r w:rsidRPr="00023F06">
        <w:rPr>
          <w:lang w:val="en-US"/>
        </w:rPr>
        <w:t>FFS if RACH is needed for SCG reactivation</w:t>
      </w:r>
    </w:p>
    <w:p w14:paraId="34412299" w14:textId="77777777" w:rsidR="004000E8" w:rsidRPr="00CE0424" w:rsidRDefault="00230D18" w:rsidP="00CE0424">
      <w:pPr>
        <w:pStyle w:val="Heading1"/>
      </w:pPr>
      <w:bookmarkStart w:id="2" w:name="_Ref178064866"/>
      <w:r>
        <w:t>2</w:t>
      </w:r>
      <w:r>
        <w:tab/>
      </w:r>
      <w:r w:rsidR="004000E8" w:rsidRPr="00CE0424">
        <w:t>Discussion</w:t>
      </w:r>
      <w:bookmarkEnd w:id="2"/>
    </w:p>
    <w:p w14:paraId="2F88678C" w14:textId="77777777" w:rsidR="0093498D" w:rsidRDefault="0090601B" w:rsidP="0093498D">
      <w:pPr>
        <w:pStyle w:val="Heading2"/>
      </w:pPr>
      <w:bookmarkStart w:id="3" w:name="_Ref54037400"/>
      <w:r>
        <w:t>2.</w:t>
      </w:r>
      <w:r w:rsidR="006D0EBE">
        <w:t>1</w:t>
      </w:r>
      <w:r>
        <w:tab/>
      </w:r>
      <w:r w:rsidR="0093498D">
        <w:t>SCG activation delay</w:t>
      </w:r>
    </w:p>
    <w:p w14:paraId="1EF93F2D" w14:textId="445B5571" w:rsidR="0093498D" w:rsidRPr="00BA2D1B" w:rsidRDefault="0093498D" w:rsidP="0093498D">
      <w:pPr>
        <w:pStyle w:val="BodyText"/>
      </w:pPr>
      <w:r w:rsidRPr="00BA2D1B">
        <w:t xml:space="preserve">In this section, we analyse the delay components of the SCG activation </w:t>
      </w:r>
      <w:r>
        <w:t>delay</w:t>
      </w:r>
      <w:r w:rsidRPr="00BA2D1B">
        <w:t xml:space="preserve">. As discussed in </w:t>
      </w:r>
      <w:r w:rsidRPr="00BA2D1B">
        <w:fldChar w:fldCharType="begin"/>
      </w:r>
      <w:r w:rsidRPr="00BA2D1B">
        <w:instrText xml:space="preserve"> REF _Ref53453896 \n \h  \* MERGEFORMAT </w:instrText>
      </w:r>
      <w:r w:rsidRPr="00BA2D1B">
        <w:fldChar w:fldCharType="separate"/>
      </w:r>
      <w:r w:rsidR="00785697">
        <w:t>[1]</w:t>
      </w:r>
      <w:r w:rsidRPr="00BA2D1B">
        <w:fldChar w:fldCharType="end"/>
      </w:r>
      <w:r w:rsidRPr="00BA2D1B">
        <w:t xml:space="preserve">, SCG activation will depend on the actions performed by the UE for the deactivated SCG. The extreme baseline is that the UE actions are the same as for released SCG, in which case SCG activation will take the same time as SCG addition. RAN4 has defined the requirement on PSCell Addition Delay in </w:t>
      </w:r>
      <w:r>
        <w:fldChar w:fldCharType="begin"/>
      </w:r>
      <w:r>
        <w:instrText xml:space="preserve"> REF _Ref54166707 \n \h </w:instrText>
      </w:r>
      <w:r>
        <w:fldChar w:fldCharType="separate"/>
      </w:r>
      <w:r w:rsidR="00785697">
        <w:t>[2]</w:t>
      </w:r>
      <w:r>
        <w:fldChar w:fldCharType="end"/>
      </w:r>
      <w:r>
        <w:t xml:space="preserve"> </w:t>
      </w:r>
      <w:r w:rsidRPr="00BA2D1B">
        <w:t>as follows:</w:t>
      </w:r>
    </w:p>
    <w:p w14:paraId="5AF9741B" w14:textId="77777777" w:rsidR="0093498D" w:rsidRPr="005272BB" w:rsidRDefault="0093498D" w:rsidP="0093498D">
      <w:pPr>
        <w:ind w:left="568" w:hanging="284"/>
        <w:rPr>
          <w:sz w:val="22"/>
          <w:szCs w:val="22"/>
          <w:lang w:val="en-US"/>
        </w:rPr>
      </w:pPr>
      <w:r w:rsidRPr="005272BB">
        <w:rPr>
          <w:sz w:val="22"/>
          <w:szCs w:val="22"/>
          <w:lang w:val="en-US"/>
        </w:rPr>
        <w:t>T</w:t>
      </w:r>
      <w:r w:rsidRPr="005272BB">
        <w:rPr>
          <w:sz w:val="22"/>
          <w:szCs w:val="22"/>
          <w:vertAlign w:val="subscript"/>
          <w:lang w:val="en-US"/>
        </w:rPr>
        <w:t>config_PSCell</w:t>
      </w:r>
      <w:r w:rsidRPr="005272BB">
        <w:rPr>
          <w:sz w:val="22"/>
          <w:szCs w:val="22"/>
          <w:lang w:val="en-US"/>
        </w:rPr>
        <w:t xml:space="preserve"> = T</w:t>
      </w:r>
      <w:r w:rsidRPr="005272BB">
        <w:rPr>
          <w:sz w:val="22"/>
          <w:szCs w:val="22"/>
          <w:vertAlign w:val="subscript"/>
          <w:lang w:val="en-US"/>
        </w:rPr>
        <w:t>RRC_delay</w:t>
      </w:r>
      <w:r w:rsidRPr="005272BB">
        <w:rPr>
          <w:sz w:val="22"/>
          <w:szCs w:val="22"/>
          <w:lang w:val="en-US"/>
        </w:rPr>
        <w:t xml:space="preserve"> + T</w:t>
      </w:r>
      <w:r w:rsidRPr="005272BB">
        <w:rPr>
          <w:sz w:val="22"/>
          <w:szCs w:val="22"/>
          <w:vertAlign w:val="subscript"/>
          <w:lang w:val="en-US"/>
        </w:rPr>
        <w:t>processing</w:t>
      </w:r>
      <w:r w:rsidRPr="005272BB">
        <w:rPr>
          <w:sz w:val="22"/>
          <w:szCs w:val="22"/>
          <w:lang w:val="en-US"/>
        </w:rPr>
        <w:t xml:space="preserve"> + T</w:t>
      </w:r>
      <w:r w:rsidRPr="005272BB">
        <w:rPr>
          <w:sz w:val="22"/>
          <w:szCs w:val="22"/>
          <w:vertAlign w:val="subscript"/>
          <w:lang w:val="en-US"/>
        </w:rPr>
        <w:t>search</w:t>
      </w:r>
      <w:r w:rsidRPr="005272BB">
        <w:rPr>
          <w:sz w:val="22"/>
          <w:szCs w:val="22"/>
          <w:lang w:val="en-US"/>
        </w:rPr>
        <w:t xml:space="preserve"> + T</w:t>
      </w:r>
      <w:r w:rsidRPr="005272BB">
        <w:rPr>
          <w:sz w:val="22"/>
          <w:szCs w:val="22"/>
          <w:vertAlign w:val="subscript"/>
          <w:lang w:val="en-US"/>
        </w:rPr>
        <w:t>∆</w:t>
      </w:r>
      <w:r w:rsidRPr="005272BB">
        <w:rPr>
          <w:sz w:val="22"/>
          <w:szCs w:val="22"/>
          <w:lang w:val="en-US"/>
        </w:rPr>
        <w:t xml:space="preserve"> + T</w:t>
      </w:r>
      <w:r w:rsidRPr="005272BB">
        <w:rPr>
          <w:sz w:val="22"/>
          <w:szCs w:val="22"/>
          <w:vertAlign w:val="subscript"/>
          <w:lang w:val="en-US"/>
        </w:rPr>
        <w:t>PSCell_ DU</w:t>
      </w:r>
      <w:r w:rsidRPr="005272BB">
        <w:rPr>
          <w:sz w:val="22"/>
          <w:szCs w:val="22"/>
          <w:lang w:val="en-US"/>
        </w:rPr>
        <w:t xml:space="preserve"> + 2 ms </w:t>
      </w:r>
    </w:p>
    <w:p w14:paraId="2EE80E55" w14:textId="77777777" w:rsidR="0093498D" w:rsidRDefault="0093498D" w:rsidP="0093498D">
      <w:pPr>
        <w:ind w:left="568" w:hanging="284"/>
        <w:rPr>
          <w:lang w:val="en-US"/>
        </w:rPr>
      </w:pPr>
      <w:r>
        <w:rPr>
          <w:lang w:val="en-US"/>
        </w:rPr>
        <w:t>where</w:t>
      </w:r>
    </w:p>
    <w:p w14:paraId="177A9EDC" w14:textId="77777777" w:rsidR="0093498D" w:rsidRPr="00C4235B" w:rsidRDefault="0093498D" w:rsidP="002C7158">
      <w:pPr>
        <w:pStyle w:val="ListParagraph"/>
        <w:numPr>
          <w:ilvl w:val="0"/>
          <w:numId w:val="15"/>
        </w:numPr>
        <w:rPr>
          <w:lang w:val="en-US"/>
        </w:rPr>
      </w:pPr>
      <w:r w:rsidRPr="00C4235B">
        <w:rPr>
          <w:lang w:val="en-US"/>
        </w:rPr>
        <w:t>T</w:t>
      </w:r>
      <w:r w:rsidRPr="00C4235B">
        <w:rPr>
          <w:vertAlign w:val="subscript"/>
          <w:lang w:val="en-US"/>
        </w:rPr>
        <w:t>RRC_delay</w:t>
      </w:r>
      <w:r w:rsidRPr="00C4235B">
        <w:rPr>
          <w:lang w:val="en-US"/>
        </w:rPr>
        <w:t xml:space="preserve"> is the RRC procedure delay. </w:t>
      </w:r>
      <w:r w:rsidRPr="004E66CB">
        <w:rPr>
          <w:i/>
          <w:iCs/>
          <w:lang w:val="en-US"/>
        </w:rPr>
        <w:t>SCG addition T</w:t>
      </w:r>
      <w:r w:rsidRPr="004E66CB">
        <w:rPr>
          <w:i/>
          <w:iCs/>
          <w:vertAlign w:val="subscript"/>
          <w:lang w:val="en-US"/>
        </w:rPr>
        <w:t>RRC_delay</w:t>
      </w:r>
      <w:r w:rsidRPr="004E66CB">
        <w:rPr>
          <w:i/>
          <w:iCs/>
          <w:lang w:val="en-US"/>
        </w:rPr>
        <w:t xml:space="preserve"> = 16 ms.</w:t>
      </w:r>
    </w:p>
    <w:p w14:paraId="562D1871" w14:textId="77777777" w:rsidR="0093498D" w:rsidRPr="00C4235B" w:rsidRDefault="0093498D" w:rsidP="002C7158">
      <w:pPr>
        <w:pStyle w:val="ListParagraph"/>
        <w:numPr>
          <w:ilvl w:val="0"/>
          <w:numId w:val="15"/>
        </w:numPr>
        <w:rPr>
          <w:lang w:val="en-US"/>
        </w:rPr>
      </w:pPr>
      <w:r w:rsidRPr="00C4235B">
        <w:rPr>
          <w:lang w:val="en-US"/>
        </w:rPr>
        <w:t>T</w:t>
      </w:r>
      <w:r w:rsidRPr="00C4235B">
        <w:rPr>
          <w:vertAlign w:val="subscript"/>
          <w:lang w:val="en-US"/>
        </w:rPr>
        <w:t>processing</w:t>
      </w:r>
      <w:r w:rsidRPr="00C4235B">
        <w:rPr>
          <w:lang w:val="en-US"/>
        </w:rPr>
        <w:t xml:space="preserve"> is the SW processing time needed by UE, including RF warm up period. </w:t>
      </w:r>
      <w:r w:rsidRPr="004E66CB">
        <w:rPr>
          <w:i/>
          <w:iCs/>
          <w:lang w:val="en-US"/>
        </w:rPr>
        <w:t>T</w:t>
      </w:r>
      <w:r w:rsidRPr="004E66CB">
        <w:rPr>
          <w:i/>
          <w:iCs/>
          <w:vertAlign w:val="subscript"/>
          <w:lang w:val="en-US"/>
        </w:rPr>
        <w:t>processing</w:t>
      </w:r>
      <w:r w:rsidRPr="004E66CB">
        <w:rPr>
          <w:i/>
          <w:iCs/>
          <w:lang w:val="en-US"/>
        </w:rPr>
        <w:t xml:space="preserve"> = 40 ms.</w:t>
      </w:r>
    </w:p>
    <w:p w14:paraId="1B0F7B93" w14:textId="77777777" w:rsidR="0093498D" w:rsidRPr="00C4235B" w:rsidRDefault="0093498D" w:rsidP="002C7158">
      <w:pPr>
        <w:pStyle w:val="ListParagraph"/>
        <w:numPr>
          <w:ilvl w:val="0"/>
          <w:numId w:val="15"/>
        </w:numPr>
        <w:rPr>
          <w:lang w:val="en-US"/>
        </w:rPr>
      </w:pPr>
      <w:r w:rsidRPr="00C4235B">
        <w:rPr>
          <w:lang w:val="en-US"/>
        </w:rPr>
        <w:t>T</w:t>
      </w:r>
      <w:r w:rsidRPr="00C4235B">
        <w:rPr>
          <w:vertAlign w:val="subscript"/>
          <w:lang w:val="en-US"/>
        </w:rPr>
        <w:t>search</w:t>
      </w:r>
      <w:r w:rsidRPr="00C4235B">
        <w:rPr>
          <w:lang w:val="en-US"/>
        </w:rPr>
        <w:t xml:space="preserve"> is the time for </w:t>
      </w:r>
      <w:bookmarkStart w:id="4" w:name="_Hlk54169068"/>
      <w:r w:rsidRPr="00C4235B">
        <w:rPr>
          <w:lang w:val="en-US"/>
        </w:rPr>
        <w:t>AGC settling and PSS/SSS detection</w:t>
      </w:r>
      <w:bookmarkEnd w:id="4"/>
      <w:r w:rsidRPr="00C4235B">
        <w:rPr>
          <w:lang w:val="en-US"/>
        </w:rPr>
        <w:t xml:space="preserve">. </w:t>
      </w:r>
      <w:r w:rsidRPr="004E66CB">
        <w:rPr>
          <w:i/>
          <w:iCs/>
          <w:lang w:val="en-US"/>
        </w:rPr>
        <w:t xml:space="preserve">Here we assume </w:t>
      </w:r>
      <w:r w:rsidRPr="004E66CB">
        <w:rPr>
          <w:i/>
          <w:iCs/>
          <w:lang w:val="en-US" w:eastAsia="ko-KR"/>
        </w:rPr>
        <w:t xml:space="preserve">target cell is known, </w:t>
      </w:r>
      <w:r w:rsidRPr="004E66CB">
        <w:rPr>
          <w:i/>
          <w:iCs/>
          <w:lang w:val="en-US"/>
        </w:rPr>
        <w:t>T</w:t>
      </w:r>
      <w:r w:rsidRPr="004E66CB">
        <w:rPr>
          <w:i/>
          <w:iCs/>
          <w:vertAlign w:val="subscript"/>
          <w:lang w:val="en-US"/>
        </w:rPr>
        <w:t>search</w:t>
      </w:r>
      <w:r w:rsidRPr="004E66CB">
        <w:rPr>
          <w:i/>
          <w:iCs/>
          <w:lang w:val="en-US"/>
        </w:rPr>
        <w:t xml:space="preserve"> = 0 ms.</w:t>
      </w:r>
      <w:r w:rsidRPr="00C4235B">
        <w:rPr>
          <w:lang w:val="en-US" w:eastAsia="ko-KR"/>
        </w:rPr>
        <w:t xml:space="preserve"> </w:t>
      </w:r>
    </w:p>
    <w:p w14:paraId="3C0465AF" w14:textId="77777777" w:rsidR="0093498D" w:rsidRPr="00C4235B" w:rsidRDefault="0093498D" w:rsidP="002C7158">
      <w:pPr>
        <w:pStyle w:val="ListParagraph"/>
        <w:numPr>
          <w:ilvl w:val="0"/>
          <w:numId w:val="15"/>
        </w:numPr>
        <w:rPr>
          <w:lang w:val="en-US"/>
        </w:rPr>
      </w:pPr>
      <w:r w:rsidRPr="00C4235B">
        <w:rPr>
          <w:lang w:val="en-US"/>
        </w:rPr>
        <w:t>T</w:t>
      </w:r>
      <w:r w:rsidRPr="00C4235B">
        <w:rPr>
          <w:vertAlign w:val="subscript"/>
          <w:lang w:val="en-US"/>
        </w:rPr>
        <w:t>∆</w:t>
      </w:r>
      <w:r w:rsidRPr="00C4235B">
        <w:rPr>
          <w:lang w:val="en-US"/>
        </w:rPr>
        <w:t xml:space="preserve"> is time for fine time tracking and acquiring full timing information of the target cell. T</w:t>
      </w:r>
      <w:r w:rsidRPr="00C4235B">
        <w:rPr>
          <w:vertAlign w:val="subscript"/>
          <w:lang w:val="en-US"/>
        </w:rPr>
        <w:t>∆</w:t>
      </w:r>
      <w:r w:rsidRPr="00C4235B">
        <w:rPr>
          <w:lang w:val="en-US"/>
        </w:rPr>
        <w:t xml:space="preserve"> = 1</w:t>
      </w:r>
      <w:r w:rsidRPr="00C4235B">
        <w:rPr>
          <w:lang w:val="en-US" w:eastAsia="fr-FR"/>
        </w:rPr>
        <w:t>*</w:t>
      </w:r>
      <w:r w:rsidRPr="00C4235B">
        <w:rPr>
          <w:rFonts w:cs="v4.2.0"/>
          <w:lang w:val="en-US" w:eastAsia="zh-CN"/>
        </w:rPr>
        <w:t>Trs</w:t>
      </w:r>
      <w:r w:rsidRPr="00C4235B">
        <w:rPr>
          <w:lang w:val="en-US"/>
        </w:rPr>
        <w:t xml:space="preserve"> ms, where Trs is the SMTC periodicity of the target cell.</w:t>
      </w:r>
      <w:r w:rsidRPr="004E66CB">
        <w:rPr>
          <w:lang w:val="en-US"/>
        </w:rPr>
        <w:t xml:space="preserve"> </w:t>
      </w:r>
      <w:r w:rsidRPr="004E66CB">
        <w:rPr>
          <w:i/>
          <w:iCs/>
          <w:lang w:val="en-US"/>
        </w:rPr>
        <w:t>T</w:t>
      </w:r>
      <w:r w:rsidRPr="004E66CB">
        <w:rPr>
          <w:i/>
          <w:iCs/>
          <w:vertAlign w:val="subscript"/>
          <w:lang w:val="en-US"/>
        </w:rPr>
        <w:t>∆</w:t>
      </w:r>
      <w:r w:rsidRPr="004E66CB">
        <w:rPr>
          <w:i/>
          <w:iCs/>
          <w:lang w:val="en-US"/>
        </w:rPr>
        <w:t xml:space="preserve"> can be 5-160 ms.</w:t>
      </w:r>
    </w:p>
    <w:p w14:paraId="0FBDB5A8" w14:textId="77777777" w:rsidR="0093498D" w:rsidRPr="00C4235B" w:rsidRDefault="0093498D" w:rsidP="002C7158">
      <w:pPr>
        <w:pStyle w:val="ListParagraph"/>
        <w:numPr>
          <w:ilvl w:val="0"/>
          <w:numId w:val="15"/>
        </w:numPr>
        <w:spacing w:after="240"/>
        <w:rPr>
          <w:lang w:val="en-US"/>
        </w:rPr>
      </w:pPr>
      <w:r w:rsidRPr="00C4235B">
        <w:rPr>
          <w:lang w:val="en-US"/>
        </w:rPr>
        <w:t>T</w:t>
      </w:r>
      <w:r w:rsidRPr="00C4235B">
        <w:rPr>
          <w:vertAlign w:val="subscript"/>
          <w:lang w:val="en-US"/>
        </w:rPr>
        <w:t>PSCell_ DU</w:t>
      </w:r>
      <w:r w:rsidRPr="00C4235B">
        <w:rPr>
          <w:lang w:val="en-US"/>
        </w:rPr>
        <w:t xml:space="preserve"> is the delay uncertainty in acquiring the first available PRACH occasion in the PSCell. T</w:t>
      </w:r>
      <w:r w:rsidRPr="00C4235B">
        <w:rPr>
          <w:vertAlign w:val="subscript"/>
          <w:lang w:val="en-US"/>
        </w:rPr>
        <w:t>PSCell_ DU</w:t>
      </w:r>
      <w:r w:rsidRPr="00C4235B">
        <w:rPr>
          <w:lang w:val="en-US"/>
        </w:rPr>
        <w:t xml:space="preserve"> is up to the summation of SSB to PRACH occasion association period and 10 ms. SSB to PRACH occasion associated period is defined in Table 8.1-1 of TS 38.213 [3].</w:t>
      </w:r>
      <w:r>
        <w:rPr>
          <w:lang w:val="en-US"/>
        </w:rPr>
        <w:t xml:space="preserve"> </w:t>
      </w:r>
      <w:r w:rsidRPr="00FF3FCA">
        <w:rPr>
          <w:i/>
          <w:iCs/>
          <w:lang w:val="en-US"/>
        </w:rPr>
        <w:t>T</w:t>
      </w:r>
      <w:r w:rsidRPr="00FF3FCA">
        <w:rPr>
          <w:i/>
          <w:iCs/>
          <w:vertAlign w:val="subscript"/>
          <w:lang w:val="en-US"/>
        </w:rPr>
        <w:t xml:space="preserve">PSCell_ DU </w:t>
      </w:r>
      <w:r w:rsidRPr="00FF3FCA">
        <w:rPr>
          <w:i/>
          <w:iCs/>
          <w:lang w:val="en-US"/>
        </w:rPr>
        <w:t xml:space="preserve">can be </w:t>
      </w:r>
      <w:r>
        <w:rPr>
          <w:i/>
          <w:iCs/>
          <w:lang w:val="en-US"/>
        </w:rPr>
        <w:t xml:space="preserve">around </w:t>
      </w:r>
      <w:r w:rsidRPr="00FF3FCA">
        <w:rPr>
          <w:i/>
          <w:iCs/>
          <w:lang w:val="en-US"/>
        </w:rPr>
        <w:t>10 ms.</w:t>
      </w:r>
    </w:p>
    <w:p w14:paraId="7BEEA1A7" w14:textId="1A79B4E7" w:rsidR="0093498D" w:rsidRDefault="0093498D" w:rsidP="0093498D">
      <w:pPr>
        <w:pStyle w:val="BodyText"/>
        <w:rPr>
          <w:lang w:val="en-US"/>
        </w:rPr>
      </w:pPr>
      <w:r>
        <w:rPr>
          <w:lang w:val="en-US"/>
        </w:rPr>
        <w:t>As seen in the above formula, T</w:t>
      </w:r>
      <w:r>
        <w:rPr>
          <w:vertAlign w:val="subscript"/>
          <w:lang w:val="en-US"/>
        </w:rPr>
        <w:t>processing</w:t>
      </w:r>
      <w:r>
        <w:rPr>
          <w:lang w:val="en-US"/>
        </w:rPr>
        <w:t xml:space="preserve"> and T</w:t>
      </w:r>
      <w:r>
        <w:rPr>
          <w:vertAlign w:val="subscript"/>
          <w:lang w:val="en-US"/>
        </w:rPr>
        <w:t xml:space="preserve">∆ </w:t>
      </w:r>
      <w:r>
        <w:rPr>
          <w:lang w:val="en-US"/>
        </w:rPr>
        <w:t>are potentially the main delay components. T</w:t>
      </w:r>
      <w:r>
        <w:rPr>
          <w:vertAlign w:val="subscript"/>
          <w:lang w:val="en-US"/>
        </w:rPr>
        <w:t>processing</w:t>
      </w:r>
      <w:r>
        <w:rPr>
          <w:lang w:val="en-US"/>
        </w:rPr>
        <w:t xml:space="preserve"> is the physical layer processing. T</w:t>
      </w:r>
      <w:r>
        <w:rPr>
          <w:vertAlign w:val="subscript"/>
          <w:lang w:val="en-US"/>
        </w:rPr>
        <w:t xml:space="preserve">∆ </w:t>
      </w:r>
      <w:r>
        <w:rPr>
          <w:lang w:val="en-US"/>
        </w:rPr>
        <w:t>depends on the target cell SMTC. For FR2 SCG the SMTC can be up to 160ms in order to save network power. The 160ms SMTC may be considered an extreme case, but should be considered here, since for this case there is perhaps the largest improvement potential for supporting SCG (de)activation compared to SCG release/addition.</w:t>
      </w:r>
    </w:p>
    <w:p w14:paraId="0CBC89A5" w14:textId="77777777" w:rsidR="0093498D" w:rsidRDefault="0093498D" w:rsidP="00993C83">
      <w:pPr>
        <w:pStyle w:val="Observation"/>
        <w:tabs>
          <w:tab w:val="clear" w:pos="1701"/>
          <w:tab w:val="left" w:pos="1843"/>
        </w:tabs>
        <w:ind w:left="1560" w:hanging="1560"/>
      </w:pPr>
      <w:bookmarkStart w:id="5" w:name="_Toc59548412"/>
      <w:bookmarkStart w:id="6" w:name="_Toc61544817"/>
      <w:r>
        <w:rPr>
          <w:lang w:val="en-US"/>
        </w:rPr>
        <w:t>The RRC and physical layer processing and the time required to establish downlink fine synchronization are the biggest delay components, especially for FR2 SCG activation, where long SMTC is desirable.</w:t>
      </w:r>
      <w:bookmarkEnd w:id="5"/>
      <w:bookmarkEnd w:id="6"/>
    </w:p>
    <w:p w14:paraId="37F929BA" w14:textId="77777777" w:rsidR="0093498D" w:rsidRDefault="0093498D" w:rsidP="0093498D">
      <w:pPr>
        <w:pStyle w:val="BodyText"/>
        <w:rPr>
          <w:lang w:val="en-US"/>
        </w:rPr>
      </w:pPr>
      <w:r>
        <w:rPr>
          <w:lang w:val="en-US"/>
        </w:rPr>
        <w:t>In the following sections we analyze a bit deeper what impacts</w:t>
      </w:r>
      <w:r w:rsidRPr="00F10B2B">
        <w:rPr>
          <w:lang w:val="en-US"/>
        </w:rPr>
        <w:t xml:space="preserve"> </w:t>
      </w:r>
      <w:r>
        <w:rPr>
          <w:lang w:val="en-US"/>
        </w:rPr>
        <w:t>T</w:t>
      </w:r>
      <w:r>
        <w:rPr>
          <w:vertAlign w:val="subscript"/>
          <w:lang w:val="en-US"/>
        </w:rPr>
        <w:t>RRC</w:t>
      </w:r>
      <w:r>
        <w:rPr>
          <w:lang w:val="en-US"/>
        </w:rPr>
        <w:t>, T</w:t>
      </w:r>
      <w:r>
        <w:rPr>
          <w:vertAlign w:val="subscript"/>
          <w:lang w:val="en-US"/>
        </w:rPr>
        <w:t>processing</w:t>
      </w:r>
      <w:r>
        <w:rPr>
          <w:lang w:val="en-US"/>
        </w:rPr>
        <w:t xml:space="preserve"> and T</w:t>
      </w:r>
      <w:r>
        <w:rPr>
          <w:vertAlign w:val="subscript"/>
          <w:lang w:val="en-US"/>
        </w:rPr>
        <w:t xml:space="preserve">∆ </w:t>
      </w:r>
      <w:r>
        <w:rPr>
          <w:lang w:val="en-US"/>
        </w:rPr>
        <w:t>in order to understand better how these could be reduced.</w:t>
      </w:r>
    </w:p>
    <w:p w14:paraId="6CC2938B" w14:textId="77777777" w:rsidR="0093498D" w:rsidRDefault="0093498D" w:rsidP="0093498D">
      <w:pPr>
        <w:pStyle w:val="Heading3"/>
      </w:pPr>
      <w:r>
        <w:lastRenderedPageBreak/>
        <w:t>2.1.1</w:t>
      </w:r>
      <w:r>
        <w:tab/>
        <w:t>DL synchronization</w:t>
      </w:r>
    </w:p>
    <w:p w14:paraId="2BE7FDB4" w14:textId="264E4B40" w:rsidR="00EC0402" w:rsidRDefault="0093498D" w:rsidP="0093498D">
      <w:pPr>
        <w:pStyle w:val="BodyText"/>
      </w:pPr>
      <w:r>
        <w:t>As explained in the above section, establishing the DL synchronization is one of the main delay components, especially for FR2 SCG with long SMTC. This delay component can be eliminated by the UE maintaining the DL fine synchronization for deactivated SCG.</w:t>
      </w:r>
      <w:r w:rsidR="00703305">
        <w:t xml:space="preserve"> </w:t>
      </w:r>
    </w:p>
    <w:p w14:paraId="7FA32691" w14:textId="0FF99D9B" w:rsidR="0093498D" w:rsidRDefault="0093498D" w:rsidP="0093498D">
      <w:pPr>
        <w:pStyle w:val="BodyText"/>
      </w:pPr>
      <w:r>
        <w:t>It may not be feasible to maintain the DL fine synchronization for long periods of time due to complexity or power consumption reasons, but even without this, maintaining the DL fine synchronization even for a short time can help speed up the SCG activation at least for short durations of SCG inactivity. This will improve end user performance, as short SCG activation delay is perhaps most important after short inactivity, as it allows the network to deactivate the SCG also during short inactivity, knowing that in case new data arrives requiring the SCG it can quickly be activated again.</w:t>
      </w:r>
    </w:p>
    <w:p w14:paraId="3DAA2539" w14:textId="3C1BDCFE" w:rsidR="00CA2060" w:rsidRDefault="0017474A" w:rsidP="0093498D">
      <w:pPr>
        <w:pStyle w:val="BodyText"/>
      </w:pPr>
      <w:r>
        <w:t>It has been agreed that the UE continues to perform RRM measurements according to the SCG measCon</w:t>
      </w:r>
      <w:r w:rsidR="00950424">
        <w:t>fi</w:t>
      </w:r>
      <w:r>
        <w:t xml:space="preserve">g while the SCG is deactivated. And, some </w:t>
      </w:r>
      <w:r w:rsidR="00B4461D">
        <w:t xml:space="preserve">level of downlink synchronization can be achieved if the UE continues to perform RRM measurements at least on the PSCell. However, </w:t>
      </w:r>
      <w:r w:rsidR="00840414">
        <w:t xml:space="preserve">if the UE maintains fine DL synchronization, </w:t>
      </w:r>
      <w:r w:rsidR="00774AE9">
        <w:t>it</w:t>
      </w:r>
      <w:r w:rsidR="00840414">
        <w:t xml:space="preserve"> would be possible for the UE to receive</w:t>
      </w:r>
      <w:r w:rsidR="00774AE9">
        <w:t xml:space="preserve"> a </w:t>
      </w:r>
      <w:r w:rsidR="00840414">
        <w:t xml:space="preserve">command to activate the SCG and immediately start monitoring the PSCell’s PDCCH/CORESET or, to access the PSCell e.g. by transmitting a </w:t>
      </w:r>
      <w:r w:rsidR="00003096">
        <w:t>random access</w:t>
      </w:r>
      <w:r w:rsidR="00840414">
        <w:t xml:space="preserve"> preamble at the next available PRACH occasion on </w:t>
      </w:r>
      <w:r w:rsidR="00774AE9">
        <w:t xml:space="preserve">the PSCell </w:t>
      </w:r>
      <w:r w:rsidR="009932C5">
        <w:t>or a PUCCH scheduling request (if the UL is also assumed to be synchronized)</w:t>
      </w:r>
      <w:r w:rsidR="00840414">
        <w:t xml:space="preserve">. </w:t>
      </w:r>
      <w:r w:rsidR="00CA2060">
        <w:t xml:space="preserve">This </w:t>
      </w:r>
      <w:r w:rsidR="00840414">
        <w:t xml:space="preserve">should be possible if in addition to perform PSCell measurements, the UE </w:t>
      </w:r>
      <w:r w:rsidR="00840414" w:rsidRPr="00993C83">
        <w:t xml:space="preserve">also </w:t>
      </w:r>
      <w:r w:rsidR="00CA2060" w:rsidRPr="00993C83">
        <w:rPr>
          <w:lang w:val="en-US"/>
        </w:rPr>
        <w:t xml:space="preserve">keeps track of </w:t>
      </w:r>
      <w:r w:rsidR="006C2C1B" w:rsidRPr="00993C83">
        <w:rPr>
          <w:lang w:val="en-US"/>
        </w:rPr>
        <w:t>an</w:t>
      </w:r>
      <w:r w:rsidR="00CA2060" w:rsidRPr="00993C83">
        <w:rPr>
          <w:lang w:val="en-US"/>
        </w:rPr>
        <w:t xml:space="preserve"> SSB and MIB</w:t>
      </w:r>
      <w:r w:rsidR="009932C5" w:rsidRPr="00993C83">
        <w:rPr>
          <w:lang w:val="en-US"/>
        </w:rPr>
        <w:t xml:space="preserve"> of the PSCell</w:t>
      </w:r>
      <w:r w:rsidR="00CA2060" w:rsidRPr="00993C83">
        <w:rPr>
          <w:lang w:val="en-US"/>
        </w:rPr>
        <w:t>, to keep SFN timing such that the UE is ready to transmit the random access preamble</w:t>
      </w:r>
      <w:r w:rsidR="00AC3F80" w:rsidRPr="00993C83">
        <w:rPr>
          <w:lang w:val="en-US"/>
        </w:rPr>
        <w:t xml:space="preserve"> or Scheduling Request</w:t>
      </w:r>
      <w:r w:rsidR="00CA2060" w:rsidRPr="00993C83">
        <w:rPr>
          <w:lang w:val="en-US"/>
        </w:rPr>
        <w:t xml:space="preserve"> </w:t>
      </w:r>
      <w:r w:rsidR="00AC3F80" w:rsidRPr="00993C83">
        <w:rPr>
          <w:lang w:val="en-US"/>
        </w:rPr>
        <w:t xml:space="preserve">(SR) </w:t>
      </w:r>
      <w:r w:rsidR="00CA2060" w:rsidRPr="00993C83">
        <w:rPr>
          <w:lang w:val="en-US"/>
        </w:rPr>
        <w:t xml:space="preserve">at the next available PRACH </w:t>
      </w:r>
      <w:r w:rsidR="00AC3F80" w:rsidRPr="00993C83">
        <w:rPr>
          <w:lang w:val="en-US"/>
        </w:rPr>
        <w:t xml:space="preserve">or SR </w:t>
      </w:r>
      <w:r w:rsidR="00CA2060" w:rsidRPr="00993C83">
        <w:rPr>
          <w:lang w:val="en-US"/>
        </w:rPr>
        <w:t xml:space="preserve">occasion when the SCG is to be activated.  </w:t>
      </w:r>
      <w:r w:rsidR="00886FEB">
        <w:rPr>
          <w:lang w:val="en-US"/>
        </w:rPr>
        <w:t>In this context, keeping track of an SSB means the UE knows at least one suitable SSB (whose SS-RSRP is above the suitability threshold) that maps to a PRACH occasion.</w:t>
      </w:r>
    </w:p>
    <w:p w14:paraId="310B783F" w14:textId="77777777" w:rsidR="0093498D" w:rsidRDefault="0093498D" w:rsidP="0093498D">
      <w:pPr>
        <w:pStyle w:val="BodyText"/>
      </w:pPr>
      <w:r>
        <w:t xml:space="preserve">The alternative would be to investigate different means of speeding up the DL fine synchronization, e.g. through the use of temporary RS, as being discussed in RAN1 for SCell activation, though that will require RAN1 to look into also temporary RS for PSCell activation, which is currently not withing the planned Rel-17 scope. </w:t>
      </w:r>
    </w:p>
    <w:p w14:paraId="7A27EA20" w14:textId="389A3699" w:rsidR="00A21195" w:rsidRDefault="00A21195" w:rsidP="00BA427C">
      <w:pPr>
        <w:pStyle w:val="Proposal"/>
        <w:tabs>
          <w:tab w:val="clear" w:pos="1304"/>
          <w:tab w:val="num" w:pos="1701"/>
        </w:tabs>
      </w:pPr>
      <w:bookmarkStart w:id="7" w:name="_Toc61544827"/>
      <w:bookmarkStart w:id="8" w:name="_Toc59548414"/>
      <w:r>
        <w:t xml:space="preserve">The UE maintains DL </w:t>
      </w:r>
      <w:r w:rsidR="006C2C1B">
        <w:t xml:space="preserve">sync </w:t>
      </w:r>
      <w:r>
        <w:t>while the SCG is deactivated</w:t>
      </w:r>
      <w:r w:rsidR="00C431DC">
        <w:t xml:space="preserve"> (</w:t>
      </w:r>
      <w:r w:rsidR="00B441CD">
        <w:t xml:space="preserve">e.g. </w:t>
      </w:r>
      <w:r>
        <w:t xml:space="preserve">including </w:t>
      </w:r>
      <w:r w:rsidR="00C431DC">
        <w:t xml:space="preserve">SFN timing and </w:t>
      </w:r>
      <w:r w:rsidR="007231C0">
        <w:t>SSB selection</w:t>
      </w:r>
      <w:r w:rsidR="00C431DC">
        <w:t>)</w:t>
      </w:r>
      <w:r w:rsidR="00B441CD">
        <w:t xml:space="preserve"> such that the UE is ready to transmit in next PRACH </w:t>
      </w:r>
      <w:r w:rsidR="008E18F5">
        <w:t xml:space="preserve">or SR </w:t>
      </w:r>
      <w:r w:rsidR="00B441CD">
        <w:t>occasion having processed the SCG activation command</w:t>
      </w:r>
      <w:r w:rsidR="007231C0">
        <w:t>.</w:t>
      </w:r>
      <w:bookmarkEnd w:id="7"/>
    </w:p>
    <w:p w14:paraId="3E493466" w14:textId="72B793DB" w:rsidR="000F2696" w:rsidRDefault="000F2696" w:rsidP="000F2696">
      <w:pPr>
        <w:pStyle w:val="BodyText"/>
      </w:pPr>
      <w:r>
        <w:t xml:space="preserve">There is still an open issue on whether the UE always performs random access on the PSCell or not upon SCG activation. However, there is consensus that at least in some cases random access is required. Hence, maintaining DL sync aims to reduce the activation delay when random access is needed. If RAN2 agrees to support cases without random access DL sync would be </w:t>
      </w:r>
      <w:r w:rsidR="00BF2925">
        <w:t>required</w:t>
      </w:r>
      <w:r>
        <w:t xml:space="preserve"> for the UE to directly transmit a scheduling request on PUCCH and/or directly monitor PDCCH.</w:t>
      </w:r>
    </w:p>
    <w:bookmarkEnd w:id="8"/>
    <w:p w14:paraId="3FC32EAE" w14:textId="77777777" w:rsidR="0093498D" w:rsidRDefault="0093498D" w:rsidP="0093498D">
      <w:pPr>
        <w:pStyle w:val="Heading3"/>
      </w:pPr>
      <w:r>
        <w:t>2.1.2</w:t>
      </w:r>
      <w:r>
        <w:tab/>
        <w:t>Processing times</w:t>
      </w:r>
    </w:p>
    <w:p w14:paraId="3DE28CDF" w14:textId="75411563" w:rsidR="0093498D" w:rsidRDefault="0093498D" w:rsidP="0093498D">
      <w:pPr>
        <w:pStyle w:val="BodyText"/>
      </w:pPr>
      <w:r>
        <w:t>The RRC processing time (</w:t>
      </w:r>
      <w:r>
        <w:rPr>
          <w:lang w:val="en-US"/>
        </w:rPr>
        <w:t>T</w:t>
      </w:r>
      <w:r>
        <w:rPr>
          <w:vertAlign w:val="subscript"/>
          <w:lang w:val="en-US"/>
        </w:rPr>
        <w:t>RRC</w:t>
      </w:r>
      <w:r>
        <w:t xml:space="preserve">=16ms) could be reduced by defining a new case for RRC reconfiguration for SCG activation, including no or limited changes to the deactivated SCG configuration. In this way it should be possible to define a much lower RRC processing time for this special case. </w:t>
      </w:r>
      <w:r w:rsidR="00DE7FF4">
        <w:t xml:space="preserve">The approach is very similar to what is already defined for RRC resume, for which there is a </w:t>
      </w:r>
      <w:r w:rsidR="0075718C">
        <w:t xml:space="preserve">lower RRC processing time defined that applies with certain limitations to what the </w:t>
      </w:r>
      <w:r w:rsidR="0075718C" w:rsidRPr="0075718C">
        <w:rPr>
          <w:i/>
          <w:iCs/>
        </w:rPr>
        <w:t>RRCResume</w:t>
      </w:r>
      <w:r w:rsidR="0075718C">
        <w:t xml:space="preserve"> message may contain. </w:t>
      </w:r>
      <w:r w:rsidR="00DE7FF4">
        <w:t xml:space="preserve">In this analysis, we have assumed a </w:t>
      </w:r>
      <w:r w:rsidR="0075718C">
        <w:t xml:space="preserve">reduced </w:t>
      </w:r>
      <w:r w:rsidR="00DE7FF4">
        <w:t>delay of 5 ms</w:t>
      </w:r>
      <w:r w:rsidR="0075718C">
        <w:t xml:space="preserve"> for an </w:t>
      </w:r>
      <w:r w:rsidR="0075718C" w:rsidRPr="0075718C">
        <w:rPr>
          <w:i/>
          <w:iCs/>
        </w:rPr>
        <w:t>RRCReconfiguration</w:t>
      </w:r>
      <w:r w:rsidR="0075718C">
        <w:t xml:space="preserve"> message to activate the SCG with limited changes to the SCG configuration</w:t>
      </w:r>
      <w:r w:rsidR="00DE7FF4">
        <w:t xml:space="preserve">. </w:t>
      </w:r>
      <w:r>
        <w:t>The actual value will require further discussion.</w:t>
      </w:r>
    </w:p>
    <w:p w14:paraId="374321AD" w14:textId="77777777" w:rsidR="0093498D" w:rsidRDefault="0093498D" w:rsidP="00B441CD">
      <w:pPr>
        <w:pStyle w:val="Proposal"/>
        <w:tabs>
          <w:tab w:val="clear" w:pos="1304"/>
          <w:tab w:val="num" w:pos="1701"/>
        </w:tabs>
      </w:pPr>
      <w:bookmarkStart w:id="9" w:name="_Toc59548415"/>
      <w:bookmarkStart w:id="10" w:name="_Toc61544828"/>
      <w:r>
        <w:t>Define a reduced processing time for RRC reconfiguration for activating SCG with limited changes to the SCG configuration.</w:t>
      </w:r>
      <w:bookmarkEnd w:id="9"/>
      <w:bookmarkEnd w:id="10"/>
    </w:p>
    <w:p w14:paraId="256FBB72" w14:textId="07D58406" w:rsidR="0093498D" w:rsidRDefault="0093498D" w:rsidP="0093498D">
      <w:pPr>
        <w:pStyle w:val="BodyText"/>
      </w:pPr>
      <w:r>
        <w:t>The physical layer processing (</w:t>
      </w:r>
      <w:r>
        <w:rPr>
          <w:lang w:val="en-US"/>
        </w:rPr>
        <w:t>T</w:t>
      </w:r>
      <w:r>
        <w:rPr>
          <w:vertAlign w:val="subscript"/>
          <w:lang w:val="en-US"/>
        </w:rPr>
        <w:t xml:space="preserve">processing </w:t>
      </w:r>
      <w:r>
        <w:t xml:space="preserve">= 40ms for SCG addition) currently consists of 20ms for loading software and 20ms for </w:t>
      </w:r>
      <w:r w:rsidRPr="009F4CE5">
        <w:rPr>
          <w:lang w:val="fi-FI"/>
        </w:rPr>
        <w:t>initializing data structures and buffers</w:t>
      </w:r>
      <w:r>
        <w:rPr>
          <w:lang w:val="fi-FI"/>
        </w:rPr>
        <w:t>. For the software loading, it should be realistic to assume that it can be performed during SCG addition, and that the UE can keep the software loaded for the deactivated SCG. There would then be no need to reload the software during SCG activation. This would save 20ms from</w:t>
      </w:r>
      <w:r>
        <w:t xml:space="preserve"> </w:t>
      </w:r>
      <w:r>
        <w:rPr>
          <w:lang w:val="en-US"/>
        </w:rPr>
        <w:t>T</w:t>
      </w:r>
      <w:r>
        <w:rPr>
          <w:vertAlign w:val="subscript"/>
          <w:lang w:val="en-US"/>
        </w:rPr>
        <w:t>processing</w:t>
      </w:r>
      <w:r>
        <w:t xml:space="preserve">. This is already applied in RAN4 for intra frequency range PSCell change. For the initialization of data structures and buffers, it should be possible for UEs to keep the memory initialized for deactivated SCG, which is already the case for SCell activation where the cell or frequency is not changed. So, if there is no mobility for the deactivated SCG, it should be possible to assume </w:t>
      </w:r>
      <w:r>
        <w:rPr>
          <w:lang w:val="en-US"/>
        </w:rPr>
        <w:t>T</w:t>
      </w:r>
      <w:r>
        <w:rPr>
          <w:vertAlign w:val="subscript"/>
          <w:lang w:val="en-US"/>
        </w:rPr>
        <w:t>processing</w:t>
      </w:r>
      <w:r>
        <w:t xml:space="preserve"> = 0ms, but this needs to be confirmed with RAN4. From performance point it would be good, since it would shave off another 40ms from the SCG activation delay, which will help in increasing the MCG offloading potential, see </w:t>
      </w:r>
      <w:r>
        <w:fldChar w:fldCharType="begin"/>
      </w:r>
      <w:r>
        <w:instrText xml:space="preserve"> REF _Ref54040279 \h </w:instrText>
      </w:r>
      <w:r>
        <w:fldChar w:fldCharType="separate"/>
      </w:r>
      <w:r w:rsidR="00785697">
        <w:rPr>
          <w:b/>
          <w:bCs/>
          <w:lang w:val="en-US"/>
        </w:rPr>
        <w:t>Error! Reference source not found.</w:t>
      </w:r>
      <w:r>
        <w:fldChar w:fldCharType="end"/>
      </w:r>
      <w:r>
        <w:t>. We provide a draft LS in Annex A.</w:t>
      </w:r>
    </w:p>
    <w:p w14:paraId="4A76D6D6" w14:textId="77777777" w:rsidR="0093498D" w:rsidRDefault="0093498D" w:rsidP="0035295F">
      <w:pPr>
        <w:pStyle w:val="Proposal"/>
        <w:tabs>
          <w:tab w:val="clear" w:pos="1304"/>
          <w:tab w:val="num" w:pos="1701"/>
        </w:tabs>
      </w:pPr>
      <w:bookmarkStart w:id="11" w:name="_Toc59548416"/>
      <w:bookmarkStart w:id="12" w:name="_Toc61544829"/>
      <w:r>
        <w:lastRenderedPageBreak/>
        <w:t xml:space="preserve">Send LS to RAN4 to confirm whether </w:t>
      </w:r>
      <w:r>
        <w:rPr>
          <w:lang w:val="en-US"/>
        </w:rPr>
        <w:t>T</w:t>
      </w:r>
      <w:r>
        <w:rPr>
          <w:vertAlign w:val="subscript"/>
          <w:lang w:val="en-US"/>
        </w:rPr>
        <w:t>processing</w:t>
      </w:r>
      <w:r>
        <w:t xml:space="preserve"> = 0ms could be assumed for SCG activation, without cell or frequency change.</w:t>
      </w:r>
      <w:bookmarkEnd w:id="11"/>
      <w:bookmarkEnd w:id="12"/>
    </w:p>
    <w:p w14:paraId="4C1CA217" w14:textId="2E573ABC" w:rsidR="0093498D" w:rsidRDefault="0093498D" w:rsidP="0093498D">
      <w:pPr>
        <w:pStyle w:val="BodyText"/>
        <w:rPr>
          <w:lang w:val="en-US"/>
        </w:rPr>
      </w:pPr>
      <w:r>
        <w:rPr>
          <w:lang w:val="en-US"/>
        </w:rPr>
        <w:t xml:space="preserve">In </w:t>
      </w:r>
      <w:r>
        <w:rPr>
          <w:lang w:val="en-US"/>
        </w:rPr>
        <w:fldChar w:fldCharType="begin"/>
      </w:r>
      <w:r>
        <w:rPr>
          <w:lang w:val="en-US"/>
        </w:rPr>
        <w:instrText xml:space="preserve"> REF _Ref53455204 \h </w:instrText>
      </w:r>
      <w:r>
        <w:rPr>
          <w:lang w:val="en-US"/>
        </w:rPr>
      </w:r>
      <w:r>
        <w:rPr>
          <w:lang w:val="en-US"/>
        </w:rPr>
        <w:fldChar w:fldCharType="separate"/>
      </w:r>
      <w:r w:rsidR="00785697">
        <w:t xml:space="preserve">Figure </w:t>
      </w:r>
      <w:r w:rsidR="00785697">
        <w:rPr>
          <w:noProof/>
        </w:rPr>
        <w:t>1</w:t>
      </w:r>
      <w:r>
        <w:rPr>
          <w:lang w:val="en-US"/>
        </w:rPr>
        <w:fldChar w:fldCharType="end"/>
      </w:r>
      <w:r>
        <w:rPr>
          <w:lang w:val="en-US"/>
        </w:rPr>
        <w:t>, the total activation delay according to the above formula is shown for the FR2 case with 160ms SMTC. The baseline bar shows the delay without improvements compared to SCG addition. As can be seen, the main part of the SCG activation delay is consumed to establish DL synchronization and processing on L3 and L1 and that by addressing these the SCG activation delay can be reduced significantly</w:t>
      </w:r>
      <w:r w:rsidR="00DE7FF4">
        <w:rPr>
          <w:lang w:val="en-US"/>
        </w:rPr>
        <w:t>.</w:t>
      </w:r>
      <w:r>
        <w:rPr>
          <w:lang w:val="en-US"/>
        </w:rPr>
        <w:t xml:space="preserve"> </w:t>
      </w:r>
    </w:p>
    <w:p w14:paraId="018317BD" w14:textId="77777777" w:rsidR="0093498D" w:rsidRDefault="0093498D" w:rsidP="0093498D">
      <w:pPr>
        <w:pStyle w:val="BodyText"/>
        <w:rPr>
          <w:lang w:val="en-US"/>
        </w:rPr>
      </w:pPr>
    </w:p>
    <w:p w14:paraId="1D3256CC" w14:textId="77777777" w:rsidR="0093498D" w:rsidRDefault="0093498D" w:rsidP="0093498D">
      <w:pPr>
        <w:jc w:val="center"/>
      </w:pPr>
      <w:r>
        <w:rPr>
          <w:noProof/>
        </w:rPr>
        <w:drawing>
          <wp:inline distT="0" distB="0" distL="0" distR="0" wp14:anchorId="701B8273" wp14:editId="6A686917">
            <wp:extent cx="3995405" cy="2991882"/>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1753" cy="3004124"/>
                    </a:xfrm>
                    <a:prstGeom prst="rect">
                      <a:avLst/>
                    </a:prstGeom>
                    <a:noFill/>
                  </pic:spPr>
                </pic:pic>
              </a:graphicData>
            </a:graphic>
          </wp:inline>
        </w:drawing>
      </w:r>
    </w:p>
    <w:p w14:paraId="2F389F3C" w14:textId="60136053" w:rsidR="0093498D" w:rsidRDefault="0093498D" w:rsidP="0093498D">
      <w:pPr>
        <w:pStyle w:val="Caption"/>
        <w:jc w:val="center"/>
      </w:pPr>
      <w:bookmarkStart w:id="13" w:name="_Ref53455204"/>
      <w:r>
        <w:t xml:space="preserve">Figure </w:t>
      </w:r>
      <w:r w:rsidR="00A21D3C">
        <w:fldChar w:fldCharType="begin"/>
      </w:r>
      <w:r w:rsidR="00A21D3C">
        <w:instrText xml:space="preserve"> SEQ Figure \* ARABIC </w:instrText>
      </w:r>
      <w:r w:rsidR="00A21D3C">
        <w:fldChar w:fldCharType="separate"/>
      </w:r>
      <w:r w:rsidR="00785697">
        <w:rPr>
          <w:noProof/>
        </w:rPr>
        <w:t>1</w:t>
      </w:r>
      <w:r w:rsidR="00A21D3C">
        <w:rPr>
          <w:noProof/>
        </w:rPr>
        <w:fldChar w:fldCharType="end"/>
      </w:r>
      <w:bookmarkEnd w:id="13"/>
      <w:r>
        <w:t>: Factors affecting SCG activation delay</w:t>
      </w:r>
    </w:p>
    <w:p w14:paraId="327B7974" w14:textId="7EE32C12" w:rsidR="0093498D" w:rsidRDefault="0093498D" w:rsidP="0093498D">
      <w:pPr>
        <w:pStyle w:val="BodyText"/>
      </w:pPr>
      <w:r>
        <w:t>The SCG activation delay analysis so far included only the time until PRACH transmission occasion. On top of this comes either Random Access procedure or Scheduling Request</w:t>
      </w:r>
      <w:r w:rsidR="00015684">
        <w:t>, if UL TA timer is still running</w:t>
      </w:r>
      <w:r>
        <w:t>.</w:t>
      </w:r>
    </w:p>
    <w:p w14:paraId="1AE689A7" w14:textId="6EFC4256" w:rsidR="008C0CD1" w:rsidRDefault="0093498D" w:rsidP="00E81349">
      <w:pPr>
        <w:pStyle w:val="Heading3"/>
      </w:pPr>
      <w:r>
        <w:t>2.</w:t>
      </w:r>
      <w:r w:rsidR="00E81349">
        <w:t>1.3</w:t>
      </w:r>
      <w:r>
        <w:tab/>
      </w:r>
      <w:r w:rsidR="008C0CD1">
        <w:t xml:space="preserve">Impact of </w:t>
      </w:r>
      <w:r w:rsidR="00DE7FF4">
        <w:t>uplink synchronization on</w:t>
      </w:r>
      <w:r w:rsidR="008C0CD1">
        <w:t xml:space="preserve"> SCG activation </w:t>
      </w:r>
      <w:r w:rsidR="007E21EA">
        <w:t>delay</w:t>
      </w:r>
    </w:p>
    <w:p w14:paraId="462C528E" w14:textId="7E31F39D" w:rsidR="00E01807" w:rsidRDefault="00E01807" w:rsidP="00A71DAA">
      <w:pPr>
        <w:pStyle w:val="BodyText"/>
        <w:rPr>
          <w:lang w:val="fi-FI"/>
        </w:rPr>
      </w:pPr>
      <w:r w:rsidRPr="00E01807">
        <w:rPr>
          <w:lang w:val="fi-FI"/>
        </w:rPr>
        <w:t xml:space="preserve">In </w:t>
      </w:r>
      <w:r w:rsidR="00445A60">
        <w:rPr>
          <w:lang w:val="fi-FI"/>
        </w:rPr>
        <w:t xml:space="preserve">section 2.1 </w:t>
      </w:r>
      <w:r w:rsidR="007E21EA">
        <w:rPr>
          <w:lang w:val="fi-FI"/>
        </w:rPr>
        <w:t>we present</w:t>
      </w:r>
      <w:r w:rsidR="00445A60">
        <w:rPr>
          <w:lang w:val="fi-FI"/>
        </w:rPr>
        <w:t>ed</w:t>
      </w:r>
      <w:r w:rsidR="007E21EA">
        <w:rPr>
          <w:lang w:val="fi-FI"/>
        </w:rPr>
        <w:t xml:space="preserve"> a</w:t>
      </w:r>
      <w:r w:rsidR="00445A60">
        <w:rPr>
          <w:lang w:val="fi-FI"/>
        </w:rPr>
        <w:t>n</w:t>
      </w:r>
      <w:r w:rsidR="007E21EA">
        <w:rPr>
          <w:lang w:val="fi-FI"/>
        </w:rPr>
        <w:t xml:space="preserve"> analysis of the SCG activation delay based on current RAN4 requirements for SCG addition.</w:t>
      </w:r>
      <w:r w:rsidR="00DE7FF4">
        <w:rPr>
          <w:lang w:val="fi-FI"/>
        </w:rPr>
        <w:t xml:space="preserve"> </w:t>
      </w:r>
      <w:r w:rsidR="00445A60">
        <w:rPr>
          <w:lang w:val="fi-FI"/>
        </w:rPr>
        <w:t xml:space="preserve">In this section, we study the impact of </w:t>
      </w:r>
      <w:r w:rsidR="00EB427C">
        <w:rPr>
          <w:lang w:val="fi-FI"/>
        </w:rPr>
        <w:t>uplink</w:t>
      </w:r>
      <w:r w:rsidR="00DE7FF4">
        <w:rPr>
          <w:lang w:val="fi-FI"/>
        </w:rPr>
        <w:t xml:space="preserve"> synchronization for a deactivated SCG on the SCG activation delay. Ultimately, a random access will be required for the case where the UE has lost uplink synchronization </w:t>
      </w:r>
      <w:r w:rsidR="00A71DAA">
        <w:rPr>
          <w:lang w:val="fi-FI"/>
        </w:rPr>
        <w:t>for</w:t>
      </w:r>
      <w:r w:rsidR="00DE7FF4">
        <w:rPr>
          <w:lang w:val="fi-FI"/>
        </w:rPr>
        <w:t xml:space="preserve"> the deactivated SCG. The question is what is the gain of supporting in addition to the random access case also the case of SCG activation </w:t>
      </w:r>
      <w:r w:rsidR="00EB427C">
        <w:rPr>
          <w:lang w:val="fi-FI"/>
        </w:rPr>
        <w:t xml:space="preserve">without random access, e.g. </w:t>
      </w:r>
      <w:r w:rsidR="00DE7FF4">
        <w:rPr>
          <w:lang w:val="fi-FI"/>
        </w:rPr>
        <w:t>via Scheduling Request for the case where UL synchronization is maintained.</w:t>
      </w:r>
      <w:r w:rsidR="000A5AB0">
        <w:rPr>
          <w:lang w:val="fi-FI"/>
        </w:rPr>
        <w:t xml:space="preserve"> Maintaining uplink synchronization for deactivated SCG is discussed in sections 2.</w:t>
      </w:r>
      <w:r w:rsidR="00E81349">
        <w:rPr>
          <w:lang w:val="fi-FI"/>
        </w:rPr>
        <w:t>3</w:t>
      </w:r>
      <w:r w:rsidR="000A5AB0">
        <w:rPr>
          <w:lang w:val="fi-FI"/>
        </w:rPr>
        <w:t xml:space="preserve"> and 2.</w:t>
      </w:r>
      <w:r w:rsidR="00E81349">
        <w:rPr>
          <w:lang w:val="fi-FI"/>
        </w:rPr>
        <w:t>4</w:t>
      </w:r>
      <w:r w:rsidR="000A5AB0">
        <w:rPr>
          <w:lang w:val="fi-FI"/>
        </w:rPr>
        <w:t>.</w:t>
      </w:r>
    </w:p>
    <w:p w14:paraId="5D63A911" w14:textId="5045202B" w:rsidR="00A71DAA" w:rsidRPr="00A71DAA" w:rsidRDefault="00A71DAA" w:rsidP="00993C83">
      <w:pPr>
        <w:pStyle w:val="Observation"/>
        <w:ind w:left="1701" w:hanging="1701"/>
      </w:pPr>
      <w:bookmarkStart w:id="14" w:name="_Toc61544818"/>
      <w:r>
        <w:t>SCG activation with random access is needed</w:t>
      </w:r>
      <w:r w:rsidRPr="00A71DAA">
        <w:rPr>
          <w:lang w:val="fi-FI"/>
        </w:rPr>
        <w:t xml:space="preserve"> </w:t>
      </w:r>
      <w:r>
        <w:rPr>
          <w:lang w:val="fi-FI"/>
        </w:rPr>
        <w:t>for the case where the UE has lost uplink synchronization for the deactivated SCG.</w:t>
      </w:r>
      <w:bookmarkEnd w:id="14"/>
    </w:p>
    <w:p w14:paraId="7036B648" w14:textId="3D2A89B6" w:rsidR="00A71DAA" w:rsidRPr="005063E3" w:rsidRDefault="00A71DAA" w:rsidP="00993C83">
      <w:pPr>
        <w:pStyle w:val="Observation"/>
        <w:ind w:left="1701" w:hanging="1701"/>
      </w:pPr>
      <w:bookmarkStart w:id="15" w:name="_Toc61544819"/>
      <w:r>
        <w:t xml:space="preserve">In addition to SCG activation with random access, </w:t>
      </w:r>
      <w:r>
        <w:rPr>
          <w:lang w:val="fi-FI"/>
        </w:rPr>
        <w:t xml:space="preserve">activation via Scheduling Request can provide lower latency for the case where UL synchronization </w:t>
      </w:r>
      <w:r w:rsidR="00015684">
        <w:rPr>
          <w:lang w:val="fi-FI"/>
        </w:rPr>
        <w:t>and beam relations are</w:t>
      </w:r>
      <w:r>
        <w:rPr>
          <w:lang w:val="fi-FI"/>
        </w:rPr>
        <w:t xml:space="preserve"> maintained.</w:t>
      </w:r>
      <w:bookmarkEnd w:id="15"/>
      <w:r>
        <w:t xml:space="preserve"> </w:t>
      </w:r>
    </w:p>
    <w:p w14:paraId="3E7C4007" w14:textId="7E2805D5" w:rsidR="00A71DAA" w:rsidRPr="00E01807" w:rsidRDefault="00A71DAA" w:rsidP="00E81349">
      <w:pPr>
        <w:pStyle w:val="Heading4"/>
      </w:pPr>
      <w:r>
        <w:t>2.</w:t>
      </w:r>
      <w:r w:rsidR="00E81349">
        <w:t>1</w:t>
      </w:r>
      <w:r>
        <w:t>.</w:t>
      </w:r>
      <w:r w:rsidR="00E81349">
        <w:t>3.</w:t>
      </w:r>
      <w:r>
        <w:t>1</w:t>
      </w:r>
      <w:r>
        <w:tab/>
        <w:t>SCG activation with random access</w:t>
      </w:r>
    </w:p>
    <w:p w14:paraId="2D67E0C9" w14:textId="65A5775E" w:rsidR="00E01807" w:rsidRPr="00E01807" w:rsidRDefault="000A5AB0" w:rsidP="00A71DAA">
      <w:pPr>
        <w:pStyle w:val="BodyText"/>
      </w:pPr>
      <w:r>
        <w:rPr>
          <w:lang w:val="fi-FI"/>
        </w:rPr>
        <w:t xml:space="preserve">We first look at the case of SCG activation with random access. Here we assume the following </w:t>
      </w:r>
      <w:r w:rsidR="0066068C">
        <w:rPr>
          <w:lang w:val="fi-FI"/>
        </w:rPr>
        <w:t>improvements</w:t>
      </w:r>
      <w:r>
        <w:rPr>
          <w:lang w:val="fi-FI"/>
        </w:rPr>
        <w:t xml:space="preserve"> from section</w:t>
      </w:r>
      <w:r w:rsidR="00E81349">
        <w:rPr>
          <w:lang w:val="fi-FI"/>
        </w:rPr>
        <w:t>s</w:t>
      </w:r>
      <w:r>
        <w:rPr>
          <w:lang w:val="fi-FI"/>
        </w:rPr>
        <w:t xml:space="preserve"> 2.1</w:t>
      </w:r>
      <w:r w:rsidR="00E81349">
        <w:rPr>
          <w:lang w:val="fi-FI"/>
        </w:rPr>
        <w:t>.1 and 2.1.2</w:t>
      </w:r>
      <w:r w:rsidR="00E01807" w:rsidRPr="00E01807">
        <w:rPr>
          <w:lang w:val="fi-FI"/>
        </w:rPr>
        <w:t>:</w:t>
      </w:r>
    </w:p>
    <w:p w14:paraId="052758A3" w14:textId="3FA71AB9" w:rsidR="00E01807" w:rsidRPr="0053643B" w:rsidRDefault="00E01807" w:rsidP="00467D68">
      <w:pPr>
        <w:pStyle w:val="BodyText"/>
        <w:numPr>
          <w:ilvl w:val="0"/>
          <w:numId w:val="20"/>
        </w:numPr>
      </w:pPr>
      <w:r w:rsidRPr="0053643B">
        <w:rPr>
          <w:lang w:val="fi-FI"/>
        </w:rPr>
        <w:t>T</w:t>
      </w:r>
      <w:r w:rsidRPr="0053643B">
        <w:rPr>
          <w:vertAlign w:val="subscript"/>
          <w:lang w:val="fi-FI"/>
        </w:rPr>
        <w:t>RRC</w:t>
      </w:r>
      <w:r w:rsidRPr="0053643B">
        <w:rPr>
          <w:lang w:val="fi-FI"/>
        </w:rPr>
        <w:t xml:space="preserve"> is reduced 15 ms -&gt; 5 ms </w:t>
      </w:r>
    </w:p>
    <w:p w14:paraId="365C2B1B" w14:textId="7F4E230D" w:rsidR="009F0F61" w:rsidRPr="0053643B" w:rsidRDefault="009F0F61" w:rsidP="00467D68">
      <w:pPr>
        <w:pStyle w:val="BodyText"/>
        <w:numPr>
          <w:ilvl w:val="0"/>
          <w:numId w:val="20"/>
        </w:numPr>
      </w:pPr>
      <w:r w:rsidRPr="0053643B">
        <w:rPr>
          <w:lang w:val="fi-FI"/>
        </w:rPr>
        <w:t>T_processing (UE SW) = 0</w:t>
      </w:r>
      <w:r w:rsidR="00B41E35">
        <w:rPr>
          <w:lang w:val="fi-FI"/>
        </w:rPr>
        <w:t xml:space="preserve"> ms</w:t>
      </w:r>
    </w:p>
    <w:p w14:paraId="518021FB" w14:textId="549FE827" w:rsidR="00E01807" w:rsidRPr="0053643B" w:rsidRDefault="00E02D75" w:rsidP="00467D68">
      <w:pPr>
        <w:pStyle w:val="BodyText"/>
        <w:numPr>
          <w:ilvl w:val="0"/>
          <w:numId w:val="20"/>
        </w:numPr>
      </w:pPr>
      <w:r w:rsidRPr="0053643B">
        <w:rPr>
          <w:lang w:val="en-US"/>
        </w:rPr>
        <w:t>T</w:t>
      </w:r>
      <w:r w:rsidRPr="0053643B">
        <w:rPr>
          <w:vertAlign w:val="subscript"/>
          <w:lang w:val="en-US"/>
        </w:rPr>
        <w:t>∆</w:t>
      </w:r>
      <w:r w:rsidRPr="0053643B">
        <w:rPr>
          <w:lang w:val="en-US"/>
        </w:rPr>
        <w:t xml:space="preserve"> </w:t>
      </w:r>
      <w:r w:rsidR="00E01807" w:rsidRPr="0053643B">
        <w:rPr>
          <w:lang w:val="fi-FI"/>
        </w:rPr>
        <w:t xml:space="preserve">(SMTC) = 0 </w:t>
      </w:r>
      <w:r w:rsidR="00B41E35">
        <w:rPr>
          <w:lang w:val="fi-FI"/>
        </w:rPr>
        <w:t>ms</w:t>
      </w:r>
      <w:r w:rsidR="00E01807" w:rsidRPr="0053643B">
        <w:rPr>
          <w:lang w:val="fi-FI"/>
        </w:rPr>
        <w:t xml:space="preserve"> </w:t>
      </w:r>
      <w:r w:rsidR="0053643B" w:rsidRPr="0053643B">
        <w:rPr>
          <w:lang w:val="fi-FI"/>
        </w:rPr>
        <w:t xml:space="preserve">(i.e. </w:t>
      </w:r>
      <w:r w:rsidR="00E01807" w:rsidRPr="000A5AB0">
        <w:rPr>
          <w:lang w:val="fi-FI"/>
        </w:rPr>
        <w:t>DL sync maintainted</w:t>
      </w:r>
      <w:r w:rsidR="0053643B" w:rsidRPr="000A5AB0">
        <w:rPr>
          <w:lang w:val="fi-FI"/>
        </w:rPr>
        <w:t>)</w:t>
      </w:r>
      <w:r w:rsidR="00E01807" w:rsidRPr="0053643B">
        <w:rPr>
          <w:b/>
          <w:bCs/>
          <w:lang w:val="fi-FI"/>
        </w:rPr>
        <w:t xml:space="preserve"> </w:t>
      </w:r>
    </w:p>
    <w:p w14:paraId="5E27B54F" w14:textId="1AB8662F" w:rsidR="004555AF" w:rsidRDefault="000A5AB0" w:rsidP="00A71DAA">
      <w:pPr>
        <w:pStyle w:val="BodyText"/>
        <w:rPr>
          <w:lang w:val="fi-FI"/>
        </w:rPr>
      </w:pPr>
      <w:r>
        <w:rPr>
          <w:lang w:val="fi-FI"/>
        </w:rPr>
        <w:t xml:space="preserve">This results in an SCG </w:t>
      </w:r>
      <w:r w:rsidR="00A71DAA">
        <w:rPr>
          <w:lang w:val="fi-FI"/>
        </w:rPr>
        <w:t>activation delay</w:t>
      </w:r>
      <w:r w:rsidR="00E01807" w:rsidRPr="00E01807">
        <w:rPr>
          <w:lang w:val="fi-FI"/>
        </w:rPr>
        <w:t xml:space="preserve"> </w:t>
      </w:r>
      <w:r>
        <w:rPr>
          <w:lang w:val="fi-FI"/>
        </w:rPr>
        <w:t>of</w:t>
      </w:r>
      <w:r w:rsidR="00E01807" w:rsidRPr="00E01807">
        <w:rPr>
          <w:lang w:val="fi-FI"/>
        </w:rPr>
        <w:t xml:space="preserve"> 27 ms + Random Access procedure</w:t>
      </w:r>
      <w:r>
        <w:rPr>
          <w:lang w:val="fi-FI"/>
        </w:rPr>
        <w:t xml:space="preserve"> delay. The random access procedure delay in NR varies depending on the used </w:t>
      </w:r>
      <w:r w:rsidR="00B41E35">
        <w:rPr>
          <w:lang w:val="fi-FI"/>
        </w:rPr>
        <w:t>numerology</w:t>
      </w:r>
      <w:r w:rsidR="001F26A9">
        <w:rPr>
          <w:lang w:val="fi-FI"/>
        </w:rPr>
        <w:t xml:space="preserve"> and configuration</w:t>
      </w:r>
      <w:r>
        <w:rPr>
          <w:lang w:val="fi-FI"/>
        </w:rPr>
        <w:t xml:space="preserve">. </w:t>
      </w:r>
      <w:r w:rsidR="00B41E35">
        <w:rPr>
          <w:lang w:val="fi-FI"/>
        </w:rPr>
        <w:t xml:space="preserve">As baseline we consider the 15kHz numerology, for which the random access delay </w:t>
      </w:r>
      <w:r w:rsidR="00600B0C">
        <w:rPr>
          <w:lang w:val="fi-FI"/>
        </w:rPr>
        <w:t>may</w:t>
      </w:r>
      <w:r w:rsidR="00B41E35">
        <w:rPr>
          <w:lang w:val="fi-FI"/>
        </w:rPr>
        <w:t xml:space="preserve"> be comparable to that of LTE. Here we have used the figure 13ms as </w:t>
      </w:r>
      <w:r w:rsidR="009F72E3">
        <w:rPr>
          <w:lang w:val="fi-FI"/>
        </w:rPr>
        <w:t>a rough approximation</w:t>
      </w:r>
      <w:r w:rsidR="00B41E35">
        <w:rPr>
          <w:lang w:val="fi-FI"/>
        </w:rPr>
        <w:t>.</w:t>
      </w:r>
    </w:p>
    <w:p w14:paraId="7A168D21" w14:textId="0FA85412" w:rsidR="00B41E35" w:rsidRDefault="00B41E35" w:rsidP="00A71DAA">
      <w:pPr>
        <w:pStyle w:val="BodyText"/>
        <w:rPr>
          <w:lang w:val="fi-FI"/>
        </w:rPr>
      </w:pPr>
      <w:r>
        <w:rPr>
          <w:lang w:val="fi-FI"/>
        </w:rPr>
        <w:t xml:space="preserve">In total, the SCG activation delay with random access </w:t>
      </w:r>
      <w:r w:rsidR="009942BE">
        <w:rPr>
          <w:lang w:val="fi-FI"/>
        </w:rPr>
        <w:t>is</w:t>
      </w:r>
      <w:r>
        <w:rPr>
          <w:lang w:val="fi-FI"/>
        </w:rPr>
        <w:t xml:space="preserve"> in the order of 27ms + 13ms = </w:t>
      </w:r>
      <w:r w:rsidRPr="004A3A6D">
        <w:rPr>
          <w:u w:val="single"/>
          <w:lang w:val="fi-FI"/>
        </w:rPr>
        <w:t>40 ms</w:t>
      </w:r>
      <w:r>
        <w:rPr>
          <w:lang w:val="fi-FI"/>
        </w:rPr>
        <w:t>.</w:t>
      </w:r>
    </w:p>
    <w:p w14:paraId="07630D48" w14:textId="195E7202" w:rsidR="00A71DAA" w:rsidRPr="00E01807" w:rsidRDefault="00A71DAA" w:rsidP="00E81349">
      <w:pPr>
        <w:pStyle w:val="Heading4"/>
      </w:pPr>
      <w:r>
        <w:t>2.</w:t>
      </w:r>
      <w:r w:rsidR="00E81349">
        <w:t>1</w:t>
      </w:r>
      <w:r>
        <w:t>.</w:t>
      </w:r>
      <w:r w:rsidR="00E81349">
        <w:t>3.</w:t>
      </w:r>
      <w:r>
        <w:t>2</w:t>
      </w:r>
      <w:r>
        <w:tab/>
        <w:t>SCG activation with</w:t>
      </w:r>
      <w:r w:rsidR="0063311D">
        <w:t>out random access</w:t>
      </w:r>
    </w:p>
    <w:p w14:paraId="6A4C94E7" w14:textId="5C6E5982" w:rsidR="00B41E35" w:rsidRDefault="00B41E35" w:rsidP="00B41E35">
      <w:pPr>
        <w:pStyle w:val="BodyText"/>
      </w:pPr>
      <w:r>
        <w:t>SCG activation without random access can be used if the TA timer has not expired, see section 2</w:t>
      </w:r>
      <w:r w:rsidR="00A562B6">
        <w:t>.</w:t>
      </w:r>
      <w:r w:rsidR="00E81349">
        <w:t>3</w:t>
      </w:r>
      <w:r w:rsidR="00A562B6">
        <w:t>.1 and if Beam Failure Detection has not occurred, see section 2.</w:t>
      </w:r>
      <w:r w:rsidR="00E81349">
        <w:t>3</w:t>
      </w:r>
      <w:r w:rsidR="00A562B6">
        <w:t xml:space="preserve">.2. To provide a delay estimate, we take the RAN4 formula in section 2.1 as baseline and apply the same improvements as for the case with random access, i.e.: </w:t>
      </w:r>
    </w:p>
    <w:p w14:paraId="1B88566C" w14:textId="77777777" w:rsidR="00A562B6" w:rsidRPr="0053643B" w:rsidRDefault="00A562B6" w:rsidP="00467D68">
      <w:pPr>
        <w:pStyle w:val="BodyText"/>
        <w:numPr>
          <w:ilvl w:val="0"/>
          <w:numId w:val="20"/>
        </w:numPr>
      </w:pPr>
      <w:r w:rsidRPr="0053643B">
        <w:rPr>
          <w:lang w:val="fi-FI"/>
        </w:rPr>
        <w:t>T</w:t>
      </w:r>
      <w:r w:rsidRPr="0053643B">
        <w:rPr>
          <w:vertAlign w:val="subscript"/>
          <w:lang w:val="fi-FI"/>
        </w:rPr>
        <w:t>RRC</w:t>
      </w:r>
      <w:r w:rsidRPr="0053643B">
        <w:rPr>
          <w:lang w:val="fi-FI"/>
        </w:rPr>
        <w:t xml:space="preserve"> is reduced 15 ms -&gt; 5 ms </w:t>
      </w:r>
    </w:p>
    <w:p w14:paraId="5868255B" w14:textId="77777777" w:rsidR="00A562B6" w:rsidRPr="0053643B" w:rsidRDefault="00A562B6" w:rsidP="00467D68">
      <w:pPr>
        <w:pStyle w:val="BodyText"/>
        <w:numPr>
          <w:ilvl w:val="0"/>
          <w:numId w:val="20"/>
        </w:numPr>
      </w:pPr>
      <w:r w:rsidRPr="0053643B">
        <w:rPr>
          <w:lang w:val="fi-FI"/>
        </w:rPr>
        <w:t>T_processing (UE SW) = 0</w:t>
      </w:r>
      <w:r>
        <w:rPr>
          <w:lang w:val="fi-FI"/>
        </w:rPr>
        <w:t xml:space="preserve"> ms</w:t>
      </w:r>
    </w:p>
    <w:p w14:paraId="2E6DEFC6" w14:textId="77777777" w:rsidR="00A562B6" w:rsidRPr="0053643B" w:rsidRDefault="00A562B6" w:rsidP="00467D68">
      <w:pPr>
        <w:pStyle w:val="BodyText"/>
        <w:numPr>
          <w:ilvl w:val="0"/>
          <w:numId w:val="20"/>
        </w:numPr>
      </w:pPr>
      <w:r w:rsidRPr="0053643B">
        <w:rPr>
          <w:lang w:val="en-US"/>
        </w:rPr>
        <w:t>T</w:t>
      </w:r>
      <w:r w:rsidRPr="0053643B">
        <w:rPr>
          <w:vertAlign w:val="subscript"/>
          <w:lang w:val="en-US"/>
        </w:rPr>
        <w:t>∆</w:t>
      </w:r>
      <w:r w:rsidRPr="0053643B">
        <w:rPr>
          <w:lang w:val="en-US"/>
        </w:rPr>
        <w:t xml:space="preserve"> </w:t>
      </w:r>
      <w:r w:rsidRPr="0053643B">
        <w:rPr>
          <w:lang w:val="fi-FI"/>
        </w:rPr>
        <w:t>(SMTC) = 0</w:t>
      </w:r>
      <w:r>
        <w:rPr>
          <w:lang w:val="fi-FI"/>
        </w:rPr>
        <w:t xml:space="preserve"> ms</w:t>
      </w:r>
      <w:r w:rsidRPr="0053643B">
        <w:rPr>
          <w:lang w:val="fi-FI"/>
        </w:rPr>
        <w:t xml:space="preserve"> (i.e</w:t>
      </w:r>
      <w:r w:rsidRPr="000A5AB0">
        <w:rPr>
          <w:lang w:val="fi-FI"/>
        </w:rPr>
        <w:t>. DL sync maintainted)</w:t>
      </w:r>
      <w:r w:rsidRPr="0053643B">
        <w:rPr>
          <w:b/>
          <w:bCs/>
          <w:lang w:val="fi-FI"/>
        </w:rPr>
        <w:t xml:space="preserve"> </w:t>
      </w:r>
    </w:p>
    <w:p w14:paraId="51DB96FF" w14:textId="6D2B8A62" w:rsidR="0063311D" w:rsidRDefault="00A562B6" w:rsidP="00B41E35">
      <w:pPr>
        <w:pStyle w:val="BodyText"/>
      </w:pPr>
      <w:r>
        <w:t>In addition,</w:t>
      </w:r>
      <w:r w:rsidR="00FC68F5">
        <w:t xml:space="preserve"> we can separate the cases of uplink and downlink triggered access. For uplink triggered </w:t>
      </w:r>
      <w:r w:rsidR="009942BE">
        <w:t>SCG activation</w:t>
      </w:r>
      <w:r w:rsidR="00FC68F5">
        <w:t xml:space="preserve">, the UE may access the SCG using SR. In this case </w:t>
      </w:r>
      <w:r w:rsidR="00FC68F5" w:rsidRPr="005272BB">
        <w:rPr>
          <w:sz w:val="22"/>
          <w:szCs w:val="22"/>
          <w:lang w:val="en-US"/>
        </w:rPr>
        <w:t>T</w:t>
      </w:r>
      <w:r w:rsidR="00FC68F5" w:rsidRPr="005272BB">
        <w:rPr>
          <w:sz w:val="22"/>
          <w:szCs w:val="22"/>
          <w:vertAlign w:val="subscript"/>
          <w:lang w:val="en-US"/>
        </w:rPr>
        <w:t>PSCell_ DU</w:t>
      </w:r>
      <w:r w:rsidR="00FC68F5">
        <w:t xml:space="preserve"> , which is the waiting time until PRACH occasion in PSCell, does not apply and can be replaced with the waiting time until Scheduling Request occasion in </w:t>
      </w:r>
      <w:r w:rsidR="00412DB2">
        <w:t>PSCell</w:t>
      </w:r>
      <w:r w:rsidR="00FC68F5">
        <w:t xml:space="preserve">. </w:t>
      </w:r>
      <w:r w:rsidR="00C51989">
        <w:t xml:space="preserve">This will depend on the SR periodicity of the PSCell. Here we have assumed a 2ms period, after which the UE waits a further 3ms for the scheduling grant. </w:t>
      </w:r>
    </w:p>
    <w:p w14:paraId="7B7DBCD3" w14:textId="4B9B6E29" w:rsidR="00A562B6" w:rsidRDefault="00C51989" w:rsidP="00B41E35">
      <w:pPr>
        <w:pStyle w:val="BodyText"/>
      </w:pPr>
      <w:r>
        <w:t xml:space="preserve">In total, the </w:t>
      </w:r>
      <w:r w:rsidR="0063311D">
        <w:t>delay for uplink triggered</w:t>
      </w:r>
      <w:r w:rsidR="009942BE">
        <w:t xml:space="preserve"> </w:t>
      </w:r>
      <w:r w:rsidR="0063311D">
        <w:t xml:space="preserve">SCG activation </w:t>
      </w:r>
      <w:r w:rsidR="009942BE">
        <w:t xml:space="preserve">is in the order of 15 ms + 5 ms = </w:t>
      </w:r>
      <w:r w:rsidR="009942BE" w:rsidRPr="004A3A6D">
        <w:rPr>
          <w:u w:val="single"/>
        </w:rPr>
        <w:t>20 ms</w:t>
      </w:r>
      <w:r w:rsidR="009942BE">
        <w:t>.</w:t>
      </w:r>
    </w:p>
    <w:p w14:paraId="77367EC4" w14:textId="18EAB705" w:rsidR="009942BE" w:rsidRDefault="009942BE" w:rsidP="00B41E35">
      <w:pPr>
        <w:pStyle w:val="BodyText"/>
      </w:pPr>
      <w:r>
        <w:t>For the downlink triggered SCG activation</w:t>
      </w:r>
      <w:r w:rsidR="00333C58">
        <w:t xml:space="preserve">, the UE is ready to receive scheduling assignment on PDCCH immediately once the SCG activation command has been processed. </w:t>
      </w:r>
    </w:p>
    <w:p w14:paraId="7F7BFB07" w14:textId="0611E72E" w:rsidR="00333C58" w:rsidRDefault="00333C58" w:rsidP="00B41E35">
      <w:pPr>
        <w:pStyle w:val="BodyText"/>
      </w:pPr>
      <w:r>
        <w:t xml:space="preserve">In total, the delay for downlink triggered SCG activation is in the order of </w:t>
      </w:r>
      <w:r w:rsidRPr="004A3A6D">
        <w:rPr>
          <w:u w:val="single"/>
        </w:rPr>
        <w:t>15 ms.</w:t>
      </w:r>
    </w:p>
    <w:p w14:paraId="19168EAA" w14:textId="3DA93FB9" w:rsidR="00A71DAA" w:rsidRPr="00E01807" w:rsidRDefault="00A71DAA" w:rsidP="00A71DAA">
      <w:pPr>
        <w:pStyle w:val="Heading3"/>
      </w:pPr>
      <w:r>
        <w:t>2.</w:t>
      </w:r>
      <w:r w:rsidR="00E81349">
        <w:t>1</w:t>
      </w:r>
      <w:r>
        <w:t>.</w:t>
      </w:r>
      <w:r w:rsidR="00E81349">
        <w:t>4</w:t>
      </w:r>
      <w:r>
        <w:tab/>
        <w:t xml:space="preserve">Summary </w:t>
      </w:r>
    </w:p>
    <w:p w14:paraId="21570B82" w14:textId="38AC8452" w:rsidR="004A3A6D" w:rsidRPr="004A3A6D" w:rsidRDefault="004A3A6D" w:rsidP="005161A2">
      <w:pPr>
        <w:pStyle w:val="BodyText"/>
      </w:pPr>
      <w:r>
        <w:t xml:space="preserve">Considering then the baseline of 240 ms for SCG activation in section 2.1, we can observe that reducing the processing times and maintaining the downlink synchronization for the deactivate SCG can help to reduce the SCG activation delay from 240 ms to 40 ms, which constitutes a 80% reduction. In addition, maintaining also the uplink synchronization can provide a further reduction from 40 ms to 20 ms, which constitutes a further 50% reduction. </w:t>
      </w:r>
    </w:p>
    <w:p w14:paraId="2FFAF6B6" w14:textId="606965A8" w:rsidR="00564406" w:rsidRDefault="009F0F61" w:rsidP="00993C83">
      <w:pPr>
        <w:pStyle w:val="Observation"/>
        <w:ind w:left="1701" w:hanging="1701"/>
      </w:pPr>
      <w:bookmarkStart w:id="16" w:name="_Toc61544820"/>
      <w:r>
        <w:t>Reducing processing times and m</w:t>
      </w:r>
      <w:r w:rsidR="007E21EA">
        <w:t xml:space="preserve">aintaining DL timing information </w:t>
      </w:r>
      <w:r w:rsidR="00563B0C">
        <w:t xml:space="preserve">for deactivated SCG </w:t>
      </w:r>
      <w:r w:rsidR="007E21EA">
        <w:t xml:space="preserve">allows </w:t>
      </w:r>
      <w:r w:rsidR="00563B0C">
        <w:t>an</w:t>
      </w:r>
      <w:r w:rsidR="007E21EA">
        <w:t xml:space="preserve"> 80%</w:t>
      </w:r>
      <w:r>
        <w:t xml:space="preserve"> reduction</w:t>
      </w:r>
      <w:r w:rsidR="00564406">
        <w:t xml:space="preserve"> in SCG activation delay</w:t>
      </w:r>
      <w:r w:rsidR="00564406" w:rsidRPr="000F1A8E">
        <w:t>.</w:t>
      </w:r>
      <w:bookmarkEnd w:id="16"/>
    </w:p>
    <w:p w14:paraId="41EE38AD" w14:textId="6B130FCC" w:rsidR="00564406" w:rsidRDefault="00564406" w:rsidP="00993C83">
      <w:pPr>
        <w:pStyle w:val="Observation"/>
        <w:ind w:left="1701" w:hanging="1701"/>
      </w:pPr>
      <w:bookmarkStart w:id="17" w:name="_Toc61544821"/>
      <w:r>
        <w:t>Maintaining UL sync allows a further 50% reduction.</w:t>
      </w:r>
      <w:bookmarkEnd w:id="17"/>
    </w:p>
    <w:p w14:paraId="12EE0752" w14:textId="3CCC11EA" w:rsidR="00EF739C" w:rsidRDefault="00EF739C" w:rsidP="00EF739C">
      <w:pPr>
        <w:pStyle w:val="BodyText"/>
      </w:pPr>
      <w:r>
        <w:t xml:space="preserve">Notice that these </w:t>
      </w:r>
      <w:r w:rsidR="00E3306A">
        <w:t xml:space="preserve">delay </w:t>
      </w:r>
      <w:r>
        <w:t>values assume</w:t>
      </w:r>
      <w:r w:rsidR="005F3072">
        <w:t xml:space="preserve">d that after SCG </w:t>
      </w:r>
      <w:r>
        <w:t xml:space="preserve">activation the UE is ready to transmit scheduling requests on e.g. PUCCH and monitor PDCCH. However, this may </w:t>
      </w:r>
      <w:r w:rsidR="0066068C">
        <w:t xml:space="preserve">still </w:t>
      </w:r>
      <w:r>
        <w:t xml:space="preserve">not be the same situation that the UE was </w:t>
      </w:r>
      <w:r w:rsidR="005F3072">
        <w:t xml:space="preserve">enjoying </w:t>
      </w:r>
      <w:r>
        <w:t xml:space="preserve">in the PSCell </w:t>
      </w:r>
      <w:r w:rsidR="005F3072">
        <w:t>before the SCG was deactivated</w:t>
      </w:r>
      <w:r w:rsidR="0066068C">
        <w:t>.</w:t>
      </w:r>
      <w:r w:rsidR="00AB0A49">
        <w:t xml:space="preserve"> </w:t>
      </w:r>
      <w:r w:rsidR="0066068C">
        <w:t>T</w:t>
      </w:r>
      <w:r>
        <w:t xml:space="preserve">he UE may still require </w:t>
      </w:r>
      <w:r w:rsidR="00AB0A49">
        <w:t xml:space="preserve">link adaptation and </w:t>
      </w:r>
      <w:r>
        <w:t>beam refinement procedure</w:t>
      </w:r>
      <w:r w:rsidR="0066068C">
        <w:t>s</w:t>
      </w:r>
      <w:r>
        <w:t xml:space="preserve"> to access a narrow beam</w:t>
      </w:r>
      <w:r w:rsidR="005F3072">
        <w:t>. After activation via random access,</w:t>
      </w:r>
      <w:r w:rsidR="00AB0A49">
        <w:t xml:space="preserve"> for example,</w:t>
      </w:r>
      <w:r w:rsidR="005F3072">
        <w:t xml:space="preserve"> the UE </w:t>
      </w:r>
      <w:r w:rsidR="00AB0A49">
        <w:t xml:space="preserve">will typically </w:t>
      </w:r>
      <w:r w:rsidR="005F3072">
        <w:t xml:space="preserve">perform CSI-RS measurements, report them, and receive a </w:t>
      </w:r>
      <w:r w:rsidR="00E27DF2">
        <w:t xml:space="preserve">MAC CE command to activate a TCI state. </w:t>
      </w:r>
      <w:r>
        <w:t xml:space="preserve">Hence, further delay components </w:t>
      </w:r>
      <w:r w:rsidR="0066068C">
        <w:t xml:space="preserve">will </w:t>
      </w:r>
      <w:r>
        <w:t>be added if random access is always performed.</w:t>
      </w:r>
    </w:p>
    <w:p w14:paraId="552B07AA" w14:textId="1DB1FE42" w:rsidR="00384A78" w:rsidRPr="003A4B47" w:rsidRDefault="00E27DF2" w:rsidP="003A4B47">
      <w:pPr>
        <w:pStyle w:val="Observation"/>
        <w:ind w:left="1701" w:hanging="1701"/>
      </w:pPr>
      <w:bookmarkStart w:id="18" w:name="_Toc61544822"/>
      <w:r w:rsidRPr="003A4B47">
        <w:t xml:space="preserve">In the case random access is performed during activation, </w:t>
      </w:r>
      <w:r w:rsidR="00E3306A" w:rsidRPr="003A4B47">
        <w:t xml:space="preserve">further delays </w:t>
      </w:r>
      <w:r w:rsidRPr="003A4B47">
        <w:t>exists due to beam refinement and link adaptation</w:t>
      </w:r>
      <w:r w:rsidR="00EC6211" w:rsidRPr="003A4B47">
        <w:t xml:space="preserve"> until </w:t>
      </w:r>
      <w:r w:rsidR="0066068C">
        <w:t>efficient</w:t>
      </w:r>
      <w:r w:rsidR="00EC6211" w:rsidRPr="003A4B47">
        <w:t xml:space="preserve"> transmissions/receptions can be performed</w:t>
      </w:r>
      <w:r w:rsidRPr="003A4B47">
        <w:t>.</w:t>
      </w:r>
      <w:bookmarkEnd w:id="18"/>
    </w:p>
    <w:p w14:paraId="608EC093" w14:textId="5C8501B8" w:rsidR="00B809B5" w:rsidRDefault="005D06D3" w:rsidP="00170EC9">
      <w:pPr>
        <w:pStyle w:val="Heading2"/>
      </w:pPr>
      <w:r>
        <w:t>2.</w:t>
      </w:r>
      <w:r w:rsidR="00E81349">
        <w:t>2</w:t>
      </w:r>
      <w:r>
        <w:tab/>
      </w:r>
      <w:r w:rsidR="00B809B5">
        <w:t xml:space="preserve">Impact </w:t>
      </w:r>
      <w:r w:rsidR="005B4D82">
        <w:t xml:space="preserve">of SCG activation delay </w:t>
      </w:r>
      <w:r w:rsidR="00B809B5">
        <w:t xml:space="preserve">on </w:t>
      </w:r>
      <w:r w:rsidR="000142C2">
        <w:t xml:space="preserve">MCG offloading </w:t>
      </w:r>
    </w:p>
    <w:p w14:paraId="3C598E0D" w14:textId="79E80473" w:rsidR="00B809B5" w:rsidRDefault="00B809B5" w:rsidP="00B809B5">
      <w:pPr>
        <w:pStyle w:val="BodyText"/>
      </w:pPr>
      <w:r>
        <w:t xml:space="preserve">In our contribution </w:t>
      </w:r>
      <w:r>
        <w:fldChar w:fldCharType="begin"/>
      </w:r>
      <w:r>
        <w:instrText xml:space="preserve"> REF _Ref60760093 \r \h </w:instrText>
      </w:r>
      <w:r>
        <w:fldChar w:fldCharType="separate"/>
      </w:r>
      <w:r w:rsidR="00785697">
        <w:t>[4]</w:t>
      </w:r>
      <w:r>
        <w:fldChar w:fldCharType="end"/>
      </w:r>
      <w:r>
        <w:t xml:space="preserve"> in RAN2#1</w:t>
      </w:r>
      <w:r w:rsidR="003B1383">
        <w:t>1</w:t>
      </w:r>
      <w:r>
        <w:t xml:space="preserve">2e meeting, we presented simulation results on the impact of the SCG activation delay on system performance in terms of MCG offloading potential. The results are repeated here in </w:t>
      </w:r>
      <w:r>
        <w:fldChar w:fldCharType="begin"/>
      </w:r>
      <w:r>
        <w:instrText xml:space="preserve"> REF _Ref60760247 \h </w:instrText>
      </w:r>
      <w:r>
        <w:fldChar w:fldCharType="separate"/>
      </w:r>
      <w:r w:rsidR="00785697">
        <w:t xml:space="preserve">Figure </w:t>
      </w:r>
      <w:r w:rsidR="00785697">
        <w:rPr>
          <w:noProof/>
        </w:rPr>
        <w:t>2</w:t>
      </w:r>
      <w:r>
        <w:fldChar w:fldCharType="end"/>
      </w:r>
      <w:r>
        <w:t xml:space="preserve"> for easy reference. </w:t>
      </w:r>
    </w:p>
    <w:p w14:paraId="3D340C0C" w14:textId="7FC6D9D7" w:rsidR="00B809B5" w:rsidRDefault="00B809B5" w:rsidP="00B809B5">
      <w:pPr>
        <w:pStyle w:val="BodyText"/>
      </w:pPr>
      <w:r w:rsidRPr="00B809B5">
        <w:t>Figure 2 show</w:t>
      </w:r>
      <w:r>
        <w:t>s</w:t>
      </w:r>
      <w:r w:rsidRPr="00B809B5">
        <w:t xml:space="preserve"> the downlink subband utilization vs the network load on a </w:t>
      </w:r>
      <w:r w:rsidR="00CE6E07">
        <w:t>800 MHz</w:t>
      </w:r>
      <w:r w:rsidRPr="00B809B5">
        <w:t xml:space="preserve"> MCG carrier</w:t>
      </w:r>
      <w:r w:rsidR="00CE6E07">
        <w:t xml:space="preserve"> with 10MHz bandwidth</w:t>
      </w:r>
      <w:r w:rsidRPr="00B809B5">
        <w:t xml:space="preserve"> for various settings of SCG activation time</w:t>
      </w:r>
      <w:r w:rsidR="00CE6E07">
        <w:t>. The SCG carrier has 100MHz bandwidth at 3.5 GHz TDD</w:t>
      </w:r>
      <w:r w:rsidRPr="00B809B5">
        <w:t>. What can be seen is that there is drastic offloading effect when reducing the SCG activation time. At a medium loaded network (0.2-0.4 relative load) up to 50% less subband utilization on the MCG carrier can be seen.</w:t>
      </w:r>
    </w:p>
    <w:p w14:paraId="1A62DDEE" w14:textId="3AEA8B15" w:rsidR="00B809B5" w:rsidRDefault="005F4CA4" w:rsidP="00B809B5">
      <w:pPr>
        <w:jc w:val="center"/>
      </w:pPr>
      <w:r>
        <w:rPr>
          <w:noProof/>
        </w:rPr>
        <mc:AlternateContent>
          <mc:Choice Requires="wps">
            <w:drawing>
              <wp:anchor distT="0" distB="0" distL="114300" distR="114300" simplePos="0" relativeHeight="251658241" behindDoc="0" locked="0" layoutInCell="1" allowOverlap="1" wp14:anchorId="45E69694" wp14:editId="0BCEB424">
                <wp:simplePos x="0" y="0"/>
                <wp:positionH relativeFrom="column">
                  <wp:posOffset>2574925</wp:posOffset>
                </wp:positionH>
                <wp:positionV relativeFrom="paragraph">
                  <wp:posOffset>1028065</wp:posOffset>
                </wp:positionV>
                <wp:extent cx="45085" cy="1104900"/>
                <wp:effectExtent l="76200" t="0" r="50165" b="57150"/>
                <wp:wrapNone/>
                <wp:docPr id="228" name="Straight Arrow Connector 228"/>
                <wp:cNvGraphicFramePr/>
                <a:graphic xmlns:a="http://schemas.openxmlformats.org/drawingml/2006/main">
                  <a:graphicData uri="http://schemas.microsoft.com/office/word/2010/wordprocessingShape">
                    <wps:wsp>
                      <wps:cNvCnPr/>
                      <wps:spPr>
                        <a:xfrm flipH="1">
                          <a:off x="0" y="0"/>
                          <a:ext cx="45085" cy="1104900"/>
                        </a:xfrm>
                        <a:prstGeom prst="straightConnector1">
                          <a:avLst/>
                        </a:prstGeom>
                        <a:ln w="22225">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http://schemas.microsoft.com/office/word/2018/wordml" xmlns:w16cex="http://schemas.microsoft.com/office/word/2018/wordml/cex">
            <w:pict>
              <v:shapetype w14:anchorId="3EF7223C" id="_x0000_t32" coordsize="21600,21600" o:spt="32" o:oned="t" path="m,l21600,21600e" filled="f">
                <v:path arrowok="t" fillok="f" o:connecttype="none"/>
                <o:lock v:ext="edit" shapetype="t"/>
              </v:shapetype>
              <v:shape id="Straight Arrow Connector 228" o:spid="_x0000_s1026" type="#_x0000_t32" style="position:absolute;margin-left:202.75pt;margin-top:80.95pt;width:3.55pt;height:87pt;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Fgb/QEAAFMEAAAOAAAAZHJzL2Uyb0RvYy54bWysVF2P0zAQfEfiP1h+p0mj6+momp5Qj4MH&#10;BNUd/ACfs24s+Utr07T/nrWTBjjuBcSLlcQ7szPjdTa3J2vYETBq71q+XNScgZO+0+7Q8m9f79/c&#10;cBaTcJ0w3kHLzxD57fb1q80Q1tD43psOkBGJi+shtLxPKayrKsoerIgLH8DRpvJoRaJXPFQdioHY&#10;ramaur6uBo9dQC8hRvp6N27ybeFXCmT6olSExEzLSVsqK5b1Ka/VdiPWBxSh13KSIf5BhRXaUdOZ&#10;6k4kwb6j/oPKaok+epUW0tvKK6UlFA/kZlk/c/PYiwDFC4UTwxxT/H+08vNxj0x3LW8aOionLB3S&#10;Y0KhD31i7xD9wHbeOQrSI8s1lNgQ4pqAO7fH6S2GPWb7J4WWKaPDRxqGEghZZKeS93nOG06JSfp4&#10;tapvVpxJ2lku66u3dTmPaqTJdAFj+gDesvzQ8jjpmgWNLcTxU0wkhIAXQAYbx4Zsq2lWRUn0Rnf3&#10;2pi8WQYMdgbZUdBoCCnBpetsjlh+q0xCm/euY+kcKJqEWriDganSOALkOMYAylM6Gxj7P4CiaMno&#10;qPPFnsuZiaozTJHCGViPyvNteC72ApzqMxTKwP8NeEaUzt6lGWy18/hS93SaO4/1lwRG3zmCJ9+d&#10;y2iUaGhyS6rTLctX49f3Av/5L9j+AAAA//8DAFBLAwQUAAYACAAAACEAZP8nYeMAAAALAQAADwAA&#10;AGRycy9kb3ducmV2LnhtbEyPwU7DMBBE70j8g7VIXBB1kiaBhDgVQkI9UA6UUombG5skIl5HttuE&#10;v+9yguNqnmbeVqvZDOykne8tCogXETCNjVU9tgJ278+398B8kKjkYFEL+NEeVvXlRSVLZSd806dt&#10;aBmVoC+lgC6EseTcN5020i/sqJGyL+uMDHS6lisnJyo3A0+iKOdG9kgLnRz1U6eb7+3RCHDr+Obl&#10;brNJ1ns75WP68br/3BVCXF/Njw/Agp7DHwy/+qQONTkd7BGVZ4OANMoyQinI4wIYEWmc5MAOApbL&#10;rABeV/z/D/UZAAD//wMAUEsBAi0AFAAGAAgAAAAhALaDOJL+AAAA4QEAABMAAAAAAAAAAAAAAAAA&#10;AAAAAFtDb250ZW50X1R5cGVzXS54bWxQSwECLQAUAAYACAAAACEAOP0h/9YAAACUAQAACwAAAAAA&#10;AAAAAAAAAAAvAQAAX3JlbHMvLnJlbHNQSwECLQAUAAYACAAAACEAp5xYG/0BAABTBAAADgAAAAAA&#10;AAAAAAAAAAAuAgAAZHJzL2Uyb0RvYy54bWxQSwECLQAUAAYACAAAACEAZP8nYeMAAAALAQAADwAA&#10;AAAAAAAAAAAAAABXBAAAZHJzL2Rvd25yZXYueG1sUEsFBgAAAAAEAAQA8wAAAGcFAAAAAA==&#10;" strokecolor="#70ad47 [3209]" strokeweight="1.75pt">
                <v:stroke endarrow="block" joinstyle="miter"/>
              </v:shape>
            </w:pict>
          </mc:Fallback>
        </mc:AlternateContent>
      </w:r>
      <w:r w:rsidR="00D66DEF">
        <w:rPr>
          <w:noProof/>
        </w:rPr>
        <mc:AlternateContent>
          <mc:Choice Requires="wps">
            <w:drawing>
              <wp:anchor distT="0" distB="0" distL="114300" distR="114300" simplePos="0" relativeHeight="251658240" behindDoc="0" locked="0" layoutInCell="1" allowOverlap="1" wp14:anchorId="5706169D" wp14:editId="52E67CE5">
                <wp:simplePos x="0" y="0"/>
                <wp:positionH relativeFrom="column">
                  <wp:posOffset>2505075</wp:posOffset>
                </wp:positionH>
                <wp:positionV relativeFrom="paragraph">
                  <wp:posOffset>1034415</wp:posOffset>
                </wp:positionV>
                <wp:extent cx="45719" cy="876300"/>
                <wp:effectExtent l="76200" t="0" r="50165" b="57150"/>
                <wp:wrapNone/>
                <wp:docPr id="227" name="Straight Arrow Connector 227"/>
                <wp:cNvGraphicFramePr/>
                <a:graphic xmlns:a="http://schemas.openxmlformats.org/drawingml/2006/main">
                  <a:graphicData uri="http://schemas.microsoft.com/office/word/2010/wordprocessingShape">
                    <wps:wsp>
                      <wps:cNvCnPr/>
                      <wps:spPr>
                        <a:xfrm flipH="1">
                          <a:off x="0" y="0"/>
                          <a:ext cx="45719" cy="876300"/>
                        </a:xfrm>
                        <a:prstGeom prst="straightConnector1">
                          <a:avLst/>
                        </a:prstGeom>
                        <a:ln w="2222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http://schemas.microsoft.com/office/word/2018/wordml" xmlns:w16cex="http://schemas.microsoft.com/office/word/2018/wordml/cex">
            <w:pict>
              <v:shape w14:anchorId="09883500" id="Straight Arrow Connector 227" o:spid="_x0000_s1026" type="#_x0000_t32" style="position:absolute;margin-left:197.25pt;margin-top:81.45pt;width:3.6pt;height:69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eu86QEAABsEAAAOAAAAZHJzL2Uyb0RvYy54bWysU9uO0zAUfEfiHyy/06SB3e5WTVeoy+UB&#10;QcUuH+B17MaSbzo+NO3fc+ykAQFCAvHixJeZMzM+3tydnGVHBckE3/LlouZMeRk64w8t//L49sUN&#10;ZwmF74QNXrX8rBK/2z5/thniWjWhD7ZTwIjEp/UQW94jxnVVJdkrJ9IiROVpUwdwAmkKh6oDMRC7&#10;s1VT19fVEKCLEKRKiVbvx02+LfxaK4mftE4KmW05acMyQhmf8lhtN2J9ABF7IycZ4h9UOGE8FZ2p&#10;7gUK9hXML1TOSAgpaFzI4KqgtZGqeCA3y/onNw+9iKp4oXBSnGNK/49WfjzugZmu5U2z4swLR5f0&#10;gCDMoUf2GiAMbBe8pyADsHyGEhtiWhNw5/cwzVLcQ7Z/0uCYtia+p2YogZBFdip5n+e81QmZpMVX&#10;V6vlLWeSdm5W1y/rch3VyJLZIiR8p4Jj+aflaZI16xkriOOHhKSDgBdABlvPhuyqaa6KEBTGvvEd&#10;w3MkiwhG+INV2Q4BradPtjUaKX94tmok+qw0RUSCx4KlOdXOAjsKaishpfK4nJnodIZpY+0MrIuE&#10;PwKn8xmqSuP+DXhGlMrB4wx2xgf4XXU8XSTr8fwlgdF3juApdOdyxSUa6sCS1fRacov/OC/w7296&#10;+w0AAP//AwBQSwMEFAAGAAgAAAAhAJsu1Z/gAAAACwEAAA8AAABkcnMvZG93bnJldi54bWxMjzFP&#10;wzAQhXck/oN1SGzUbgktSeNUqKILC6Jh6Ogk1yQ0Pkex26T8eo4JxtP39N536Waynbjg4FtHGuYz&#10;BQKpdFVLtYbPfPfwDMIHQ5XpHKGGK3rYZLc3qUkqN9IHXvahFlxCPjEamhD6REpfNmiNn7keidnR&#10;DdYEPodaVoMZudx2cqHUUlrTEi80psdtg+Vpf7Yawrg6fYfd+7WI8tcvn9eH7fh20Pr+bnpZgwg4&#10;hb8w/OqzOmTsVLgzVV50Gh7j6ImjDJaLGAQnIjVfgSgYKRWDzFL5/4fsBwAA//8DAFBLAQItABQA&#10;BgAIAAAAIQC2gziS/gAAAOEBAAATAAAAAAAAAAAAAAAAAAAAAABbQ29udGVudF9UeXBlc10ueG1s&#10;UEsBAi0AFAAGAAgAAAAhADj9If/WAAAAlAEAAAsAAAAAAAAAAAAAAAAALwEAAF9yZWxzLy5yZWxz&#10;UEsBAi0AFAAGAAgAAAAhAN+t67zpAQAAGwQAAA4AAAAAAAAAAAAAAAAALgIAAGRycy9lMm9Eb2Mu&#10;eG1sUEsBAi0AFAAGAAgAAAAhAJsu1Z/gAAAACwEAAA8AAAAAAAAAAAAAAAAAQwQAAGRycy9kb3du&#10;cmV2LnhtbFBLBQYAAAAABAAEAPMAAABQBQAAAAA=&#10;" strokecolor="#4472c4 [3204]" strokeweight="1.75pt">
                <v:stroke endarrow="block" joinstyle="miter"/>
              </v:shape>
            </w:pict>
          </mc:Fallback>
        </mc:AlternateContent>
      </w:r>
      <w:r w:rsidR="00D66DEF" w:rsidRPr="0082319B">
        <w:rPr>
          <w:noProof/>
        </w:rPr>
        <w:drawing>
          <wp:inline distT="0" distB="0" distL="0" distR="0" wp14:anchorId="2F6F306D" wp14:editId="57A18044">
            <wp:extent cx="4659630" cy="354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9031" cy="3570326"/>
                    </a:xfrm>
                    <a:prstGeom prst="rect">
                      <a:avLst/>
                    </a:prstGeom>
                    <a:noFill/>
                    <a:ln>
                      <a:noFill/>
                    </a:ln>
                  </pic:spPr>
                </pic:pic>
              </a:graphicData>
            </a:graphic>
          </wp:inline>
        </w:drawing>
      </w:r>
    </w:p>
    <w:p w14:paraId="5DE8BB17" w14:textId="578D26DF" w:rsidR="00B809B5" w:rsidRDefault="00B809B5" w:rsidP="00B809B5">
      <w:pPr>
        <w:pStyle w:val="Caption"/>
        <w:spacing w:before="0" w:after="240"/>
        <w:jc w:val="center"/>
      </w:pPr>
      <w:bookmarkStart w:id="19" w:name="_Ref60760247"/>
      <w:r>
        <w:t xml:space="preserve">Figure </w:t>
      </w:r>
      <w:r w:rsidR="00A21D3C">
        <w:fldChar w:fldCharType="begin"/>
      </w:r>
      <w:r w:rsidR="00A21D3C">
        <w:instrText xml:space="preserve"> SEQ Figure \* ARABIC </w:instrText>
      </w:r>
      <w:r w:rsidR="00A21D3C">
        <w:fldChar w:fldCharType="separate"/>
      </w:r>
      <w:r w:rsidR="00785697">
        <w:rPr>
          <w:noProof/>
        </w:rPr>
        <w:t>2</w:t>
      </w:r>
      <w:r w:rsidR="00A21D3C">
        <w:rPr>
          <w:noProof/>
        </w:rPr>
        <w:fldChar w:fldCharType="end"/>
      </w:r>
      <w:bookmarkEnd w:id="19"/>
      <w:r>
        <w:t xml:space="preserve">: Downlink </w:t>
      </w:r>
      <w:r w:rsidR="0008382A">
        <w:t xml:space="preserve">MCG </w:t>
      </w:r>
      <w:r>
        <w:t>subband utilization versus relative load (percentage of max users in network) for various SCG activation time configurations.</w:t>
      </w:r>
    </w:p>
    <w:p w14:paraId="742D035A" w14:textId="46FF9D06" w:rsidR="0008382A" w:rsidRPr="0008382A" w:rsidRDefault="005B4D82" w:rsidP="00BA6698">
      <w:pPr>
        <w:pStyle w:val="BodyText"/>
      </w:pPr>
      <w:r>
        <w:t xml:space="preserve">Comparing now the results of the SCG activation delay analysis in section 2.1 with the results in figure 2, one can observe that the biggest improvement in offloading potential comes from maintaining the DL </w:t>
      </w:r>
      <w:r w:rsidR="00D66DEF">
        <w:t>timing information, which bring th</w:t>
      </w:r>
      <w:r w:rsidR="00015C15">
        <w:t>e</w:t>
      </w:r>
      <w:r w:rsidR="00D66DEF">
        <w:t xml:space="preserve"> SCG activation delay down from 240ms to 40ms </w:t>
      </w:r>
      <w:r w:rsidR="00015C15">
        <w:t xml:space="preserve">(blue arrow) </w:t>
      </w:r>
      <w:r w:rsidR="00D66DEF">
        <w:t xml:space="preserve">for </w:t>
      </w:r>
      <w:r w:rsidR="00015C15">
        <w:t xml:space="preserve">contention based random access. This corresponds to a reduction in MCG subband utilization from around 75% to 45% at relative network load 0.3. </w:t>
      </w:r>
      <w:r w:rsidR="005F4CA4">
        <w:t xml:space="preserve">With UL </w:t>
      </w:r>
      <w:r w:rsidR="000142C2">
        <w:t>synchronization</w:t>
      </w:r>
      <w:r w:rsidR="005F4CA4">
        <w:t xml:space="preserve"> maintained, the reduction in SCG activation time can be further reduced to 20ms (green arrow), corresponding to a reduction in MCG subband utilization from around 75% to 35% at the same relative load. </w:t>
      </w:r>
    </w:p>
    <w:p w14:paraId="0B57594E" w14:textId="458EB32E" w:rsidR="00787EAF" w:rsidRDefault="00787EAF" w:rsidP="00BA6698">
      <w:pPr>
        <w:pStyle w:val="Observation"/>
        <w:ind w:left="1701" w:hanging="1701"/>
      </w:pPr>
      <w:bookmarkStart w:id="20" w:name="_Toc61544823"/>
      <w:r>
        <w:t>Reducing processing times and maintaining DL timing information for deactivated SCG allows a 40% reduction in MCG subband utilization.</w:t>
      </w:r>
      <w:bookmarkEnd w:id="20"/>
    </w:p>
    <w:p w14:paraId="3EE32EA0" w14:textId="17DA655D" w:rsidR="007E21EA" w:rsidRPr="00EB7AED" w:rsidRDefault="007E21EA" w:rsidP="00993C83">
      <w:pPr>
        <w:pStyle w:val="Observation"/>
        <w:ind w:left="2835" w:hanging="2835"/>
      </w:pPr>
      <w:bookmarkStart w:id="21" w:name="_Toc61544824"/>
      <w:r>
        <w:t>Maintaining UL sync allows a further 20% reduction in MCG subband utilization</w:t>
      </w:r>
      <w:r w:rsidR="00787EAF">
        <w:t>.</w:t>
      </w:r>
      <w:bookmarkEnd w:id="21"/>
    </w:p>
    <w:p w14:paraId="1C552B61" w14:textId="122520EA" w:rsidR="00D118F5" w:rsidRDefault="00D118F5" w:rsidP="00D118F5">
      <w:pPr>
        <w:pStyle w:val="Heading2"/>
      </w:pPr>
      <w:r>
        <w:t>2.</w:t>
      </w:r>
      <w:r w:rsidR="00E81349">
        <w:t>3</w:t>
      </w:r>
      <w:r>
        <w:tab/>
        <w:t xml:space="preserve">Requirements </w:t>
      </w:r>
      <w:r w:rsidR="00E427C9">
        <w:t>related to</w:t>
      </w:r>
      <w:r>
        <w:t xml:space="preserve"> random access</w:t>
      </w:r>
    </w:p>
    <w:p w14:paraId="5A4037F7" w14:textId="261118C3" w:rsidR="00784F0D" w:rsidRDefault="00AF1129" w:rsidP="00AF1129">
      <w:pPr>
        <w:pStyle w:val="BodyText"/>
      </w:pPr>
      <w:r>
        <w:t xml:space="preserve">In 2.1 and 2.2 we have discussed the </w:t>
      </w:r>
      <w:r w:rsidR="00DF03F3">
        <w:t xml:space="preserve">SCG activation </w:t>
      </w:r>
      <w:r w:rsidR="00EB40E6">
        <w:t xml:space="preserve">delays </w:t>
      </w:r>
      <w:r w:rsidR="00DF03F3">
        <w:t xml:space="preserve">for obtaining UL </w:t>
      </w:r>
      <w:r w:rsidR="002E460A">
        <w:t>and DL sync</w:t>
      </w:r>
      <w:r w:rsidR="00DF03F3">
        <w:t xml:space="preserve"> when the SCG is deactivated. In order to reduce the SCG activation delay, it has been proposed that the UE maintains DL sync (see </w:t>
      </w:r>
      <w:r w:rsidR="00DA0DE0">
        <w:t>Proposal 1</w:t>
      </w:r>
      <w:r w:rsidR="00DF03F3">
        <w:t>).</w:t>
      </w:r>
      <w:r w:rsidR="009B3278">
        <w:t xml:space="preserve"> </w:t>
      </w:r>
      <w:r w:rsidR="00CF019B">
        <w:t xml:space="preserve">The results show that maintaining also the UL sync can reduce the SCG activation delay by avoiding random access. </w:t>
      </w:r>
      <w:r w:rsidR="000459C3">
        <w:t>RAN2 should the</w:t>
      </w:r>
      <w:r w:rsidR="00CF019B">
        <w:t>n</w:t>
      </w:r>
      <w:r w:rsidR="000459C3">
        <w:t xml:space="preserve"> discuss the scenarios where random access is needed and when it can be skipped.</w:t>
      </w:r>
    </w:p>
    <w:p w14:paraId="3C43DDD9" w14:textId="792DFC2D" w:rsidR="000459C3" w:rsidRDefault="000459C3" w:rsidP="0035295F">
      <w:pPr>
        <w:pStyle w:val="Proposal"/>
        <w:tabs>
          <w:tab w:val="clear" w:pos="1304"/>
          <w:tab w:val="num" w:pos="1701"/>
        </w:tabs>
      </w:pPr>
      <w:bookmarkStart w:id="22" w:name="_Toc61544830"/>
      <w:r>
        <w:t>Random access on PSCell is not always needed when SCG is to be activated.</w:t>
      </w:r>
      <w:bookmarkEnd w:id="22"/>
    </w:p>
    <w:p w14:paraId="1432556D" w14:textId="2997B29F" w:rsidR="00DA0DE0" w:rsidRDefault="00784F0D" w:rsidP="00AF1129">
      <w:pPr>
        <w:pStyle w:val="BodyText"/>
      </w:pPr>
      <w:r>
        <w:t>M</w:t>
      </w:r>
      <w:r w:rsidR="0042024B">
        <w:t xml:space="preserve">aintaining DL sync </w:t>
      </w:r>
      <w:r>
        <w:t xml:space="preserve">with the PSCell while the SCG is deactivated </w:t>
      </w:r>
      <w:r w:rsidR="0042024B">
        <w:t>is not so costly</w:t>
      </w:r>
      <w:r>
        <w:t xml:space="preserve"> in terms of power consumption compared to maintaining UL sync</w:t>
      </w:r>
      <w:r w:rsidR="00660DAB">
        <w:t xml:space="preserve"> e.g. it does not require </w:t>
      </w:r>
      <w:r w:rsidR="0042024B">
        <w:t>UL transmissions on the PSCell and/or</w:t>
      </w:r>
      <w:r>
        <w:t xml:space="preserve"> </w:t>
      </w:r>
      <w:r w:rsidR="00660DAB">
        <w:t xml:space="preserve">monitoring of PDCCH of the PSCell e.g. for </w:t>
      </w:r>
      <w:r>
        <w:t>reception of MAC CE(s)</w:t>
      </w:r>
      <w:r w:rsidR="00660DAB">
        <w:t>.</w:t>
      </w:r>
      <w:r w:rsidR="002E2BE7">
        <w:t xml:space="preserve"> Hence, maintaining UL sync while the SCG is deactivated seems to be more challenging and some alternatives are proposed, having as initial point the inputs from the last email discussion. </w:t>
      </w:r>
    </w:p>
    <w:p w14:paraId="277D32CF" w14:textId="6D7E32CF" w:rsidR="00D118F5" w:rsidRPr="00103862" w:rsidRDefault="00D118F5" w:rsidP="00D118F5">
      <w:pPr>
        <w:pStyle w:val="Heading3"/>
        <w:rPr>
          <w:lang w:eastAsia="zh-CN"/>
        </w:rPr>
      </w:pPr>
      <w:r w:rsidRPr="00103862">
        <w:t>2.</w:t>
      </w:r>
      <w:r w:rsidR="00E81349">
        <w:t>3</w:t>
      </w:r>
      <w:r>
        <w:t>.1</w:t>
      </w:r>
      <w:r w:rsidRPr="00103862">
        <w:tab/>
        <w:t>Timing advance</w:t>
      </w:r>
    </w:p>
    <w:p w14:paraId="377FF6A3" w14:textId="7122F583" w:rsidR="00D118F5" w:rsidRDefault="00D118F5" w:rsidP="00D118F5">
      <w:pPr>
        <w:pStyle w:val="BodyText"/>
      </w:pPr>
      <w:r w:rsidRPr="001E03D5">
        <w:t>In the email discussion</w:t>
      </w:r>
      <w:r w:rsidR="00CF019B">
        <w:t xml:space="preserve"> </w:t>
      </w:r>
      <w:r w:rsidR="00CF019B">
        <w:fldChar w:fldCharType="begin"/>
      </w:r>
      <w:r w:rsidR="00CF019B">
        <w:instrText xml:space="preserve"> REF _Ref53453896 \r \h </w:instrText>
      </w:r>
      <w:r w:rsidR="00CF019B">
        <w:fldChar w:fldCharType="separate"/>
      </w:r>
      <w:r w:rsidR="00785697">
        <w:t>[1]</w:t>
      </w:r>
      <w:r w:rsidR="00CF019B">
        <w:fldChar w:fldCharType="end"/>
      </w:r>
      <w:r w:rsidRPr="001E03D5">
        <w:t>, it was discussed whether to keep the TA timer running or not for deactivated SCG. 9 companies answered "no", 11 answered "yes", 3 companies answered "yes" or "depends".</w:t>
      </w:r>
      <w:r>
        <w:t xml:space="preserve"> As no clear majority was present, the proposal was to leave it FFS whether UE maintains the timing advance while SCG is deactivated. The rapporteur invited companies answering “yes” to comment on the following points:</w:t>
      </w:r>
    </w:p>
    <w:p w14:paraId="43259F0F" w14:textId="77777777" w:rsidR="00D118F5" w:rsidRDefault="00D118F5" w:rsidP="00D118F5">
      <w:pPr>
        <w:pStyle w:val="BodyText"/>
        <w:ind w:left="567"/>
      </w:pPr>
      <w:r>
        <w:t>1) actively maintain timing advance as long as the SCG is inactive (and how), or</w:t>
      </w:r>
    </w:p>
    <w:p w14:paraId="1553E61B" w14:textId="77777777" w:rsidR="00D118F5" w:rsidRPr="003411C6" w:rsidRDefault="00D118F5" w:rsidP="00D118F5">
      <w:pPr>
        <w:ind w:left="567"/>
        <w:rPr>
          <w:rFonts w:ascii="Arial" w:hAnsi="Arial" w:cs="Arial"/>
          <w:i/>
          <w:iCs/>
        </w:rPr>
      </w:pPr>
      <w:r w:rsidRPr="003411C6">
        <w:rPr>
          <w:rFonts w:ascii="Arial" w:hAnsi="Arial" w:cs="Arial"/>
          <w:i/>
          <w:iCs/>
          <w:lang w:val="en-US"/>
        </w:rPr>
        <w:t xml:space="preserve">Ericsson view: actively maintaining the TA will require more complex solutions as the TA command would have to be transmitted to the UE via MCG and </w:t>
      </w:r>
      <w:r>
        <w:rPr>
          <w:rFonts w:ascii="Arial" w:hAnsi="Arial" w:cs="Arial"/>
          <w:i/>
          <w:iCs/>
          <w:lang w:val="en-US"/>
        </w:rPr>
        <w:t xml:space="preserve">furthermore </w:t>
      </w:r>
      <w:r w:rsidRPr="003411C6">
        <w:rPr>
          <w:rFonts w:ascii="Arial" w:hAnsi="Arial" w:cs="Arial"/>
          <w:i/>
          <w:iCs/>
          <w:lang w:val="en-US"/>
        </w:rPr>
        <w:t xml:space="preserve">the network would </w:t>
      </w:r>
      <w:r>
        <w:rPr>
          <w:rFonts w:ascii="Arial" w:hAnsi="Arial" w:cs="Arial"/>
          <w:i/>
          <w:iCs/>
          <w:lang w:val="en-US"/>
        </w:rPr>
        <w:t xml:space="preserve">probably </w:t>
      </w:r>
      <w:r w:rsidRPr="003411C6">
        <w:rPr>
          <w:rFonts w:ascii="Arial" w:hAnsi="Arial" w:cs="Arial"/>
          <w:i/>
          <w:iCs/>
          <w:lang w:val="en-US"/>
        </w:rPr>
        <w:t xml:space="preserve">need to receive some </w:t>
      </w:r>
      <w:r>
        <w:rPr>
          <w:rFonts w:ascii="Arial" w:hAnsi="Arial" w:cs="Arial"/>
          <w:i/>
          <w:iCs/>
          <w:lang w:val="en-US"/>
        </w:rPr>
        <w:t>transmission</w:t>
      </w:r>
      <w:r w:rsidRPr="003411C6">
        <w:rPr>
          <w:rFonts w:ascii="Arial" w:hAnsi="Arial" w:cs="Arial"/>
          <w:i/>
          <w:iCs/>
          <w:lang w:val="en-US"/>
        </w:rPr>
        <w:t xml:space="preserve"> from the UE in the SCG</w:t>
      </w:r>
      <w:r>
        <w:rPr>
          <w:rFonts w:ascii="Arial" w:hAnsi="Arial" w:cs="Arial"/>
          <w:i/>
          <w:iCs/>
          <w:lang w:val="en-US"/>
        </w:rPr>
        <w:t xml:space="preserve"> in order to determine the need for TA command</w:t>
      </w:r>
      <w:r w:rsidRPr="003411C6">
        <w:rPr>
          <w:rFonts w:ascii="Arial" w:hAnsi="Arial" w:cs="Arial"/>
          <w:i/>
          <w:iCs/>
          <w:lang w:val="en-US"/>
        </w:rPr>
        <w:t>, which would also increase UE power consumption.</w:t>
      </w:r>
    </w:p>
    <w:p w14:paraId="4EAF639D" w14:textId="77777777" w:rsidR="00D118F5" w:rsidRDefault="00D118F5" w:rsidP="00D118F5">
      <w:pPr>
        <w:pStyle w:val="BodyText"/>
        <w:ind w:left="567"/>
      </w:pPr>
      <w:r>
        <w:t>2) only assume that the timing advance is accurate, without any maintenance, while the TAT timer is running, or</w:t>
      </w:r>
    </w:p>
    <w:p w14:paraId="398D54A7" w14:textId="18C1E3E4" w:rsidR="00D118F5" w:rsidRPr="003411C6" w:rsidRDefault="00D118F5" w:rsidP="00D118F5">
      <w:pPr>
        <w:ind w:left="567"/>
        <w:rPr>
          <w:rFonts w:ascii="Arial" w:hAnsi="Arial" w:cs="Arial"/>
          <w:i/>
          <w:iCs/>
        </w:rPr>
      </w:pPr>
      <w:r w:rsidRPr="003411C6">
        <w:rPr>
          <w:rFonts w:ascii="Arial" w:hAnsi="Arial" w:cs="Arial"/>
          <w:i/>
          <w:iCs/>
          <w:lang w:val="en-US"/>
        </w:rPr>
        <w:t xml:space="preserve">Ericsson view: This should be the minimum ambition level, since it does not increase complexity nor UE power consumption for the deactivated SCG. It will however allow to avoid random access in cases where SCG activation happens before TAT expiration. This may apply only for short duration of SCG in deactivated state, but on the other hand </w:t>
      </w:r>
      <w:r w:rsidR="00D502A6">
        <w:rPr>
          <w:rFonts w:ascii="Arial" w:hAnsi="Arial" w:cs="Arial"/>
          <w:i/>
          <w:iCs/>
          <w:lang w:val="en-US"/>
        </w:rPr>
        <w:t>being able to avoid the extra delay of the random access is beneficial even if only for a short duration, as it allows the network to apply shorter timers to trigger the deactivation of SCG, knowing that if needed the SCG can quickly be activated again.</w:t>
      </w:r>
      <w:r w:rsidRPr="003411C6">
        <w:rPr>
          <w:rFonts w:ascii="Arial" w:hAnsi="Arial" w:cs="Arial"/>
          <w:i/>
          <w:iCs/>
          <w:lang w:val="en-US"/>
        </w:rPr>
        <w:t>. Furthermore, for small cell SCG, TA may be the same throughout the PSCell coverage.</w:t>
      </w:r>
    </w:p>
    <w:p w14:paraId="7DF5639B" w14:textId="77777777" w:rsidR="00D118F5" w:rsidRDefault="00D118F5" w:rsidP="00D118F5">
      <w:pPr>
        <w:pStyle w:val="BodyText"/>
        <w:ind w:left="567"/>
      </w:pPr>
      <w:r>
        <w:t>3) something else</w:t>
      </w:r>
    </w:p>
    <w:p w14:paraId="05EAF14B" w14:textId="26A68DA2" w:rsidR="00AE4699" w:rsidRDefault="00FC7AE6" w:rsidP="00FC7AE6">
      <w:pPr>
        <w:pStyle w:val="BodyText"/>
      </w:pPr>
      <w:r>
        <w:t>In other words, when the SCG is deactivated, the TA timer is not stopped and, if the SCG is to be activated while the TA timer is still running, the UE assumes it is UL synchronized, which would enable the UE to access the PSCell without the need of random access.</w:t>
      </w:r>
    </w:p>
    <w:p w14:paraId="56B02D04" w14:textId="20DE41AC" w:rsidR="00AE4699" w:rsidRDefault="00AE4699" w:rsidP="00D502A6">
      <w:pPr>
        <w:pStyle w:val="Proposal"/>
        <w:tabs>
          <w:tab w:val="clear" w:pos="1304"/>
          <w:tab w:val="num" w:pos="1701"/>
        </w:tabs>
      </w:pPr>
      <w:bookmarkStart w:id="23" w:name="_Toc61544831"/>
      <w:r>
        <w:t>When the SCG is deactivated the TA timer is not stopped.</w:t>
      </w:r>
      <w:bookmarkEnd w:id="23"/>
    </w:p>
    <w:p w14:paraId="301D452B" w14:textId="4114C98A" w:rsidR="00AE4699" w:rsidRDefault="00AE4699" w:rsidP="00AE4699">
      <w:pPr>
        <w:pStyle w:val="BodyText"/>
      </w:pPr>
      <w:r>
        <w:t xml:space="preserve">A follow up question is the UE behaviour when TA timer expires while the SCG is deactivated. One possibility, aiming for better readiness, would be to update the UL sync i.e. trigger a random access procedure with the PSCell and receive the TA command. However, as a valid concern from a number of companies is the UE power consumption while the SCG is deactivated, another alternative could be that the UE only acts on that when it needs to perform an UL transmission. For example, if the SCG is to be activated and the TA has expired, the UE knows it needs to access the PSCell by performing random access. </w:t>
      </w:r>
    </w:p>
    <w:p w14:paraId="221E393F" w14:textId="48D14804" w:rsidR="00AE4699" w:rsidRDefault="00AE4699" w:rsidP="00D502A6">
      <w:pPr>
        <w:pStyle w:val="Proposal"/>
        <w:tabs>
          <w:tab w:val="clear" w:pos="1304"/>
          <w:tab w:val="num" w:pos="1701"/>
        </w:tabs>
      </w:pPr>
      <w:bookmarkStart w:id="24" w:name="_Toc61544832"/>
      <w:r>
        <w:t>If TA timer has expired</w:t>
      </w:r>
      <w:r w:rsidR="00D066F1">
        <w:t xml:space="preserve"> upon SCG activation</w:t>
      </w:r>
      <w:r>
        <w:t>, the UE perform</w:t>
      </w:r>
      <w:r w:rsidR="00E953C5">
        <w:t>s</w:t>
      </w:r>
      <w:r>
        <w:t xml:space="preserve"> random access in the PSCell.</w:t>
      </w:r>
      <w:bookmarkEnd w:id="24"/>
    </w:p>
    <w:p w14:paraId="17E042C2" w14:textId="3DDA061F" w:rsidR="000C3439" w:rsidRDefault="000C3439" w:rsidP="00FC7AE6">
      <w:pPr>
        <w:pStyle w:val="BodyText"/>
      </w:pPr>
      <w:r>
        <w:t xml:space="preserve">The remaining question is what happens when the deactivated SCG needs to be activated and the TA timer is still running, i.e., the UL can be assumed to be synchronized. If the UE receives a command from </w:t>
      </w:r>
      <w:r w:rsidR="007202D9">
        <w:t xml:space="preserve">via the MCG to activate the SCG, the UE could in principle directly monitor the PSCell’s PDCCH and transmit on PUCCH, without the need for random access. However, if the PSCell </w:t>
      </w:r>
      <w:r w:rsidR="009F3436">
        <w:t xml:space="preserve">has multiple SSBs (e.g. multiple SSBs transmitted in multiple beams in FR2), </w:t>
      </w:r>
      <w:r w:rsidR="00B11725">
        <w:t xml:space="preserve">this is </w:t>
      </w:r>
      <w:r w:rsidR="00B70B4E">
        <w:t xml:space="preserve">only </w:t>
      </w:r>
      <w:r w:rsidR="00B11725">
        <w:t>possible if beam alignment is also maintained, which will be discussed in the following.</w:t>
      </w:r>
    </w:p>
    <w:p w14:paraId="0802684A" w14:textId="78C5DCA2" w:rsidR="003D6236" w:rsidRDefault="00C87CEB" w:rsidP="00CA1DE6">
      <w:pPr>
        <w:pStyle w:val="Observation"/>
        <w:ind w:left="1701" w:hanging="1701"/>
      </w:pPr>
      <w:bookmarkStart w:id="25" w:name="_Toc61544825"/>
      <w:r>
        <w:t xml:space="preserve">If </w:t>
      </w:r>
      <w:r w:rsidRPr="00C87CEB">
        <w:t>the TA timer is still running</w:t>
      </w:r>
      <w:r w:rsidR="00D066F1">
        <w:t xml:space="preserve"> upon SCG activation</w:t>
      </w:r>
      <w:r w:rsidRPr="00C87CEB">
        <w:t>, the UE assumes it is UL synchronized, which enable</w:t>
      </w:r>
      <w:r w:rsidR="00B70B4E">
        <w:t>s</w:t>
      </w:r>
      <w:r w:rsidRPr="00C87CEB">
        <w:t xml:space="preserve"> the UE to access the PSCell without the need of random access</w:t>
      </w:r>
      <w:r>
        <w:t>.</w:t>
      </w:r>
      <w:bookmarkEnd w:id="25"/>
    </w:p>
    <w:p w14:paraId="60B36FFB" w14:textId="7067BBBC" w:rsidR="00911565" w:rsidRPr="00103862" w:rsidRDefault="00911565" w:rsidP="00911565">
      <w:pPr>
        <w:pStyle w:val="Heading3"/>
        <w:rPr>
          <w:lang w:eastAsia="zh-CN"/>
        </w:rPr>
      </w:pPr>
      <w:r w:rsidRPr="00103862">
        <w:t>2.</w:t>
      </w:r>
      <w:r w:rsidR="00E81349">
        <w:t>3</w:t>
      </w:r>
      <w:r>
        <w:t>.2</w:t>
      </w:r>
      <w:r w:rsidRPr="00103862">
        <w:tab/>
      </w:r>
      <w:r>
        <w:t>Beam management/CSI and BFR/BFD</w:t>
      </w:r>
    </w:p>
    <w:p w14:paraId="316797CD" w14:textId="0CE5E45C" w:rsidR="00993C83" w:rsidRDefault="00911565" w:rsidP="00454262">
      <w:pPr>
        <w:pStyle w:val="BodyText"/>
      </w:pPr>
      <w:r>
        <w:t>As discussed in 2.</w:t>
      </w:r>
      <w:r w:rsidR="00454262">
        <w:t>4</w:t>
      </w:r>
      <w:r>
        <w:t>.</w:t>
      </w:r>
      <w:r w:rsidR="00AE2735">
        <w:t>1</w:t>
      </w:r>
      <w:r>
        <w:t xml:space="preserve">, maintaining UL and DL sync enables the UE to activate the SCG without the need for random access. However, if the PSCell has multiple SSBs associated to it, that may not be sufficient depending whether beam alignment can still be assumed or not. </w:t>
      </w:r>
    </w:p>
    <w:p w14:paraId="038F2504" w14:textId="44D819EE" w:rsidR="00E166D3" w:rsidRPr="00E166D3" w:rsidRDefault="00E166D3" w:rsidP="00E166D3">
      <w:pPr>
        <w:rPr>
          <w:b/>
          <w:bCs/>
          <w:i/>
          <w:iCs/>
          <w:sz w:val="24"/>
          <w:szCs w:val="24"/>
          <w:u w:val="single"/>
        </w:rPr>
      </w:pPr>
      <w:r>
        <w:rPr>
          <w:b/>
          <w:bCs/>
          <w:i/>
          <w:iCs/>
          <w:sz w:val="24"/>
          <w:szCs w:val="24"/>
          <w:u w:val="single"/>
        </w:rPr>
        <w:t>BFD/BFR</w:t>
      </w:r>
    </w:p>
    <w:p w14:paraId="3308FB46" w14:textId="77777777" w:rsidR="00E166D3" w:rsidRPr="00E9684B" w:rsidRDefault="00E166D3" w:rsidP="00E166D3">
      <w:pPr>
        <w:rPr>
          <w:rFonts w:ascii="Arial" w:hAnsi="Arial" w:cs="Arial"/>
        </w:rPr>
      </w:pPr>
      <w:r>
        <w:rPr>
          <w:rFonts w:ascii="Arial" w:hAnsi="Arial" w:cs="Arial"/>
        </w:rPr>
        <w:t xml:space="preserve">Beam Failure Detection (BFD) can be configured for a UE operating in MR-DC, for the MCG and for the SCG. The UE is configured </w:t>
      </w:r>
      <w:r w:rsidRPr="00E9684B">
        <w:rPr>
          <w:rFonts w:ascii="Arial" w:hAnsi="Arial" w:cs="Arial"/>
        </w:rPr>
        <w:t xml:space="preserve">with </w:t>
      </w:r>
      <w:r>
        <w:rPr>
          <w:rFonts w:ascii="Arial" w:hAnsi="Arial" w:cs="Arial"/>
        </w:rPr>
        <w:t xml:space="preserve">BFD </w:t>
      </w:r>
      <w:r w:rsidRPr="00E9684B">
        <w:rPr>
          <w:rFonts w:ascii="Arial" w:hAnsi="Arial" w:cs="Arial"/>
        </w:rPr>
        <w:t>reference signals (SSB or CSI-RS) and declares beam failure when the number of beam failure instance indications from the physical layer reaches a configured threshold before a configured timer expires.</w:t>
      </w:r>
      <w:r>
        <w:rPr>
          <w:rFonts w:ascii="Arial" w:hAnsi="Arial" w:cs="Arial"/>
        </w:rPr>
        <w:t xml:space="preserve"> In other words, that requires the UE to perform periodic L1 measurements. One analogy we can make is that BFD exists to prevent RLF when beam management operations have some kind of problem e.g. the UE does not timely report best beams and network has not meant to activate / indicate a given TCI state for PDCCH and/or PDSCH. </w:t>
      </w:r>
      <w:r w:rsidRPr="00E9684B">
        <w:rPr>
          <w:rFonts w:ascii="Arial" w:hAnsi="Arial" w:cs="Arial"/>
        </w:rPr>
        <w:t>After beam failure is detected, the UE</w:t>
      </w:r>
      <w:r>
        <w:rPr>
          <w:rFonts w:ascii="Arial" w:hAnsi="Arial" w:cs="Arial"/>
        </w:rPr>
        <w:t xml:space="preserve"> </w:t>
      </w:r>
      <w:r w:rsidRPr="00E9684B">
        <w:rPr>
          <w:rFonts w:ascii="Arial" w:hAnsi="Arial" w:cs="Arial"/>
        </w:rPr>
        <w:t xml:space="preserve">triggers beam failure recovery </w:t>
      </w:r>
      <w:r>
        <w:rPr>
          <w:rFonts w:ascii="Arial" w:hAnsi="Arial" w:cs="Arial"/>
        </w:rPr>
        <w:t xml:space="preserve">(BFR) </w:t>
      </w:r>
      <w:r w:rsidRPr="00E9684B">
        <w:rPr>
          <w:rFonts w:ascii="Arial" w:hAnsi="Arial" w:cs="Arial"/>
        </w:rPr>
        <w:t xml:space="preserve">by initiating a Random Access procedure on the </w:t>
      </w:r>
      <w:r>
        <w:rPr>
          <w:rFonts w:ascii="Arial" w:hAnsi="Arial" w:cs="Arial"/>
        </w:rPr>
        <w:t xml:space="preserve">SpCell (or a MAC CE transmission) by selecting a </w:t>
      </w:r>
      <w:r w:rsidRPr="00E9684B">
        <w:rPr>
          <w:rFonts w:ascii="Arial" w:hAnsi="Arial" w:cs="Arial"/>
        </w:rPr>
        <w:t xml:space="preserve">suitable beam </w:t>
      </w:r>
      <w:r>
        <w:rPr>
          <w:rFonts w:ascii="Arial" w:hAnsi="Arial" w:cs="Arial"/>
        </w:rPr>
        <w:t>for random access resource selection, as described in 5.2.1 in TS 38.321</w:t>
      </w:r>
      <w:r w:rsidRPr="00E9684B">
        <w:rPr>
          <w:rFonts w:ascii="Arial" w:hAnsi="Arial" w:cs="Arial"/>
        </w:rPr>
        <w:t>.</w:t>
      </w:r>
    </w:p>
    <w:p w14:paraId="7A9C8956" w14:textId="3B6D4102" w:rsidR="00E166D3" w:rsidRDefault="00E166D3" w:rsidP="00E166D3">
      <w:pPr>
        <w:rPr>
          <w:rFonts w:ascii="Arial" w:hAnsi="Arial" w:cs="Arial"/>
        </w:rPr>
      </w:pPr>
      <w:r w:rsidRPr="00FA7E1B">
        <w:rPr>
          <w:rFonts w:ascii="Arial" w:hAnsi="Arial" w:cs="Arial"/>
        </w:rPr>
        <w:t xml:space="preserve">The support of </w:t>
      </w:r>
      <w:r w:rsidRPr="00765551">
        <w:rPr>
          <w:rFonts w:ascii="Arial" w:hAnsi="Arial" w:cs="Arial"/>
        </w:rPr>
        <w:t xml:space="preserve">BFD </w:t>
      </w:r>
      <w:r w:rsidR="0037373B">
        <w:rPr>
          <w:rFonts w:ascii="Arial" w:hAnsi="Arial" w:cs="Arial"/>
        </w:rPr>
        <w:t xml:space="preserve">while SCG is deactivated </w:t>
      </w:r>
      <w:r>
        <w:rPr>
          <w:rFonts w:ascii="Arial" w:hAnsi="Arial" w:cs="Arial"/>
        </w:rPr>
        <w:t>was</w:t>
      </w:r>
      <w:r w:rsidRPr="00765551">
        <w:rPr>
          <w:rFonts w:ascii="Arial" w:hAnsi="Arial" w:cs="Arial"/>
        </w:rPr>
        <w:t xml:space="preserve"> part of the email </w:t>
      </w:r>
      <w:r w:rsidRPr="000F1A8E">
        <w:rPr>
          <w:rFonts w:ascii="Arial" w:hAnsi="Arial" w:cs="Arial"/>
        </w:rPr>
        <w:t>discussion</w:t>
      </w:r>
      <w:r w:rsidR="00454262">
        <w:rPr>
          <w:rFonts w:ascii="Arial" w:hAnsi="Arial" w:cs="Arial"/>
        </w:rPr>
        <w:t xml:space="preserve"> </w:t>
      </w:r>
      <w:r w:rsidR="00454262">
        <w:rPr>
          <w:rFonts w:ascii="Arial" w:hAnsi="Arial" w:cs="Arial"/>
        </w:rPr>
        <w:fldChar w:fldCharType="begin"/>
      </w:r>
      <w:r w:rsidR="00454262">
        <w:rPr>
          <w:rFonts w:ascii="Arial" w:hAnsi="Arial" w:cs="Arial"/>
        </w:rPr>
        <w:instrText xml:space="preserve"> REF _Ref53453896 \r \h </w:instrText>
      </w:r>
      <w:r w:rsidR="00454262">
        <w:rPr>
          <w:rFonts w:ascii="Arial" w:hAnsi="Arial" w:cs="Arial"/>
        </w:rPr>
      </w:r>
      <w:r w:rsidR="00454262">
        <w:rPr>
          <w:rFonts w:ascii="Arial" w:hAnsi="Arial" w:cs="Arial"/>
        </w:rPr>
        <w:fldChar w:fldCharType="separate"/>
      </w:r>
      <w:r w:rsidR="00785697">
        <w:rPr>
          <w:rFonts w:ascii="Arial" w:hAnsi="Arial" w:cs="Arial"/>
        </w:rPr>
        <w:t>[1]</w:t>
      </w:r>
      <w:r w:rsidR="00454262">
        <w:rPr>
          <w:rFonts w:ascii="Arial" w:hAnsi="Arial" w:cs="Arial"/>
        </w:rPr>
        <w:fldChar w:fldCharType="end"/>
      </w:r>
      <w:r>
        <w:rPr>
          <w:rFonts w:ascii="Arial" w:hAnsi="Arial" w:cs="Arial"/>
        </w:rPr>
        <w:t>, but</w:t>
      </w:r>
      <w:r w:rsidRPr="000F1A8E">
        <w:rPr>
          <w:rFonts w:ascii="Arial" w:hAnsi="Arial" w:cs="Arial"/>
        </w:rPr>
        <w:t xml:space="preserve"> the summary is not conclusive. As rapporteur</w:t>
      </w:r>
      <w:r w:rsidRPr="00F3779C">
        <w:rPr>
          <w:rFonts w:ascii="Arial" w:hAnsi="Arial" w:cs="Arial"/>
        </w:rPr>
        <w:t xml:space="preserve"> </w:t>
      </w:r>
      <w:r w:rsidRPr="0044473A">
        <w:rPr>
          <w:rFonts w:ascii="Arial" w:hAnsi="Arial" w:cs="Arial"/>
        </w:rPr>
        <w:t>summariz</w:t>
      </w:r>
      <w:r w:rsidRPr="00540DD8">
        <w:rPr>
          <w:rFonts w:ascii="Arial" w:hAnsi="Arial" w:cs="Arial"/>
        </w:rPr>
        <w:t xml:space="preserve">es, </w:t>
      </w:r>
      <w:r>
        <w:rPr>
          <w:rFonts w:ascii="Arial" w:hAnsi="Arial" w:cs="Arial"/>
        </w:rPr>
        <w:t>c</w:t>
      </w:r>
      <w:r w:rsidRPr="00FA7E1B">
        <w:rPr>
          <w:rFonts w:ascii="Arial" w:hAnsi="Arial" w:cs="Arial"/>
        </w:rPr>
        <w:t xml:space="preserve">ompanies that answered </w:t>
      </w:r>
      <w:r>
        <w:rPr>
          <w:rFonts w:ascii="Arial" w:hAnsi="Arial" w:cs="Arial"/>
        </w:rPr>
        <w:t>“</w:t>
      </w:r>
      <w:r w:rsidRPr="00FA7E1B">
        <w:rPr>
          <w:rFonts w:ascii="Arial" w:hAnsi="Arial" w:cs="Arial"/>
        </w:rPr>
        <w:t>no</w:t>
      </w:r>
      <w:r>
        <w:rPr>
          <w:rFonts w:ascii="Arial" w:hAnsi="Arial" w:cs="Arial"/>
        </w:rPr>
        <w:t>”</w:t>
      </w:r>
      <w:r w:rsidRPr="00FA7E1B">
        <w:rPr>
          <w:rFonts w:ascii="Arial" w:hAnsi="Arial" w:cs="Arial"/>
        </w:rPr>
        <w:t xml:space="preserve"> consider the benefit not worth the cost while there is no data transmission via the SCG.</w:t>
      </w:r>
      <w:r>
        <w:rPr>
          <w:rFonts w:ascii="Arial" w:hAnsi="Arial" w:cs="Arial"/>
        </w:rPr>
        <w:t xml:space="preserve"> However, </w:t>
      </w:r>
      <w:r w:rsidRPr="00765551">
        <w:rPr>
          <w:rFonts w:ascii="Arial" w:hAnsi="Arial" w:cs="Arial"/>
          <w:u w:val="single"/>
        </w:rPr>
        <w:t>readiness for SCG transmission / reception</w:t>
      </w:r>
      <w:r>
        <w:rPr>
          <w:rFonts w:ascii="Arial" w:hAnsi="Arial" w:cs="Arial"/>
        </w:rPr>
        <w:t xml:space="preserve"> while the SCG is deactivated should</w:t>
      </w:r>
      <w:r w:rsidR="00454262">
        <w:rPr>
          <w:rFonts w:ascii="Arial" w:hAnsi="Arial" w:cs="Arial"/>
        </w:rPr>
        <w:t xml:space="preserve"> also</w:t>
      </w:r>
      <w:r>
        <w:rPr>
          <w:rFonts w:ascii="Arial" w:hAnsi="Arial" w:cs="Arial"/>
        </w:rPr>
        <w:t xml:space="preserve"> be considered</w:t>
      </w:r>
      <w:r w:rsidR="00454262">
        <w:rPr>
          <w:rFonts w:ascii="Arial" w:hAnsi="Arial" w:cs="Arial"/>
        </w:rPr>
        <w:t>.</w:t>
      </w:r>
      <w:r>
        <w:rPr>
          <w:rFonts w:ascii="Arial" w:hAnsi="Arial" w:cs="Arial"/>
        </w:rPr>
        <w:t xml:space="preserve"> </w:t>
      </w:r>
      <w:r w:rsidR="00454262">
        <w:rPr>
          <w:rFonts w:ascii="Arial" w:hAnsi="Arial" w:cs="Arial"/>
        </w:rPr>
        <w:t xml:space="preserve">The </w:t>
      </w:r>
      <w:r>
        <w:rPr>
          <w:rFonts w:ascii="Arial" w:hAnsi="Arial" w:cs="Arial"/>
        </w:rPr>
        <w:t>UE should be as ready as possible to be scheduled in the SCG after the SCG is deactivated</w:t>
      </w:r>
      <w:r w:rsidR="00605812">
        <w:rPr>
          <w:rFonts w:ascii="Arial" w:hAnsi="Arial" w:cs="Arial"/>
        </w:rPr>
        <w:t>,</w:t>
      </w:r>
      <w:r>
        <w:rPr>
          <w:rFonts w:ascii="Arial" w:hAnsi="Arial" w:cs="Arial"/>
        </w:rPr>
        <w:t xml:space="preserve"> otherwise </w:t>
      </w:r>
      <w:r w:rsidR="00605812">
        <w:rPr>
          <w:rFonts w:ascii="Arial" w:hAnsi="Arial" w:cs="Arial"/>
        </w:rPr>
        <w:t xml:space="preserve">SCG deactivation </w:t>
      </w:r>
      <w:r>
        <w:rPr>
          <w:rFonts w:ascii="Arial" w:hAnsi="Arial" w:cs="Arial"/>
        </w:rPr>
        <w:t xml:space="preserve">would not present significant gains compared to a legacy SCG release and add procedure. </w:t>
      </w:r>
      <w:r w:rsidR="007F5437">
        <w:rPr>
          <w:rFonts w:ascii="Arial" w:hAnsi="Arial" w:cs="Arial"/>
        </w:rPr>
        <w:t xml:space="preserve">If </w:t>
      </w:r>
      <w:r>
        <w:rPr>
          <w:rFonts w:ascii="Arial" w:hAnsi="Arial" w:cs="Arial"/>
        </w:rPr>
        <w:t xml:space="preserve">BFD is not supported, and at the same time, beam management / CSI is not supported, the UE would always require random access upon activation, </w:t>
      </w:r>
      <w:r w:rsidR="00605812">
        <w:rPr>
          <w:rFonts w:ascii="Arial" w:hAnsi="Arial" w:cs="Arial"/>
        </w:rPr>
        <w:t xml:space="preserve">since even if the TA timer would be running, the UE may have lost the beam </w:t>
      </w:r>
      <w:r w:rsidR="00EE1687">
        <w:rPr>
          <w:rFonts w:ascii="Arial" w:hAnsi="Arial" w:cs="Arial"/>
        </w:rPr>
        <w:t>alignment</w:t>
      </w:r>
      <w:r w:rsidR="00605812">
        <w:rPr>
          <w:rFonts w:ascii="Arial" w:hAnsi="Arial" w:cs="Arial"/>
        </w:rPr>
        <w:t xml:space="preserve">. Always resorting to random access is </w:t>
      </w:r>
      <w:r w:rsidR="005F455B">
        <w:rPr>
          <w:rFonts w:ascii="Arial" w:hAnsi="Arial" w:cs="Arial"/>
        </w:rPr>
        <w:t>not preferred</w:t>
      </w:r>
      <w:r w:rsidR="00605812">
        <w:rPr>
          <w:rFonts w:ascii="Arial" w:hAnsi="Arial" w:cs="Arial"/>
        </w:rPr>
        <w:t xml:space="preserve">, </w:t>
      </w:r>
      <w:r>
        <w:rPr>
          <w:rFonts w:ascii="Arial" w:hAnsi="Arial" w:cs="Arial"/>
        </w:rPr>
        <w:t xml:space="preserve">taking into account </w:t>
      </w:r>
      <w:r w:rsidR="00605812">
        <w:rPr>
          <w:rFonts w:ascii="Arial" w:hAnsi="Arial" w:cs="Arial"/>
        </w:rPr>
        <w:t>the</w:t>
      </w:r>
      <w:r>
        <w:rPr>
          <w:rFonts w:ascii="Arial" w:hAnsi="Arial" w:cs="Arial"/>
        </w:rPr>
        <w:t xml:space="preserve"> time needed for resource / beam selection. </w:t>
      </w:r>
    </w:p>
    <w:p w14:paraId="624DB16F" w14:textId="639B1C0B" w:rsidR="00E166D3" w:rsidRPr="00EB7AED" w:rsidRDefault="00E166D3" w:rsidP="008C424A">
      <w:pPr>
        <w:pStyle w:val="Observation"/>
        <w:ind w:left="1701" w:hanging="1701"/>
      </w:pPr>
      <w:bookmarkStart w:id="26" w:name="_Toc61544826"/>
      <w:r w:rsidRPr="000F1A8E">
        <w:t xml:space="preserve">If </w:t>
      </w:r>
      <w:r w:rsidR="005F455B">
        <w:t xml:space="preserve">none of </w:t>
      </w:r>
      <w:r w:rsidRPr="000F1A8E">
        <w:t>BFD</w:t>
      </w:r>
      <w:r>
        <w:t xml:space="preserve">, </w:t>
      </w:r>
      <w:r w:rsidRPr="000F1A8E">
        <w:t>beam management</w:t>
      </w:r>
      <w:r>
        <w:t xml:space="preserve">, </w:t>
      </w:r>
      <w:r w:rsidRPr="000F1A8E">
        <w:t xml:space="preserve">CSI </w:t>
      </w:r>
      <w:r>
        <w:t xml:space="preserve">are </w:t>
      </w:r>
      <w:r w:rsidRPr="000F1A8E">
        <w:t xml:space="preserve">supported, UE always requires </w:t>
      </w:r>
      <w:r w:rsidR="007F5437">
        <w:t xml:space="preserve">random access </w:t>
      </w:r>
      <w:r w:rsidRPr="000F1A8E">
        <w:t>upon SCG activation</w:t>
      </w:r>
      <w:r w:rsidR="007F5437">
        <w:t xml:space="preserve"> which increases the activation delay</w:t>
      </w:r>
      <w:r w:rsidRPr="000F1A8E">
        <w:t>.</w:t>
      </w:r>
      <w:bookmarkEnd w:id="26"/>
      <w:r w:rsidRPr="000F1A8E">
        <w:t xml:space="preserve">  </w:t>
      </w:r>
    </w:p>
    <w:p w14:paraId="154C980D" w14:textId="04FA74E9" w:rsidR="00E166D3" w:rsidRDefault="00E166D3" w:rsidP="00CE09BB">
      <w:pPr>
        <w:pStyle w:val="Proposal"/>
        <w:tabs>
          <w:tab w:val="clear" w:pos="1304"/>
          <w:tab w:val="num" w:pos="1701"/>
        </w:tabs>
      </w:pPr>
      <w:bookmarkStart w:id="27" w:name="_Toc61544833"/>
      <w:r>
        <w:t>The UE performs BFD monitoring for deactivated SCG. FFS Discuss actions upon BFD while SCG is deactivated.</w:t>
      </w:r>
      <w:bookmarkEnd w:id="27"/>
      <w:r>
        <w:t xml:space="preserve"> </w:t>
      </w:r>
    </w:p>
    <w:p w14:paraId="35821283" w14:textId="50E3E1F2" w:rsidR="00BB6031" w:rsidRDefault="00DF7624" w:rsidP="00DF7624">
      <w:pPr>
        <w:rPr>
          <w:rFonts w:ascii="Arial" w:hAnsi="Arial" w:cs="Arial"/>
        </w:rPr>
      </w:pPr>
      <w:r>
        <w:rPr>
          <w:rFonts w:ascii="Arial" w:hAnsi="Arial" w:cs="Arial"/>
        </w:rPr>
        <w:t>There can be different possible alternatives to handle BFD while SCG is deactivated.</w:t>
      </w:r>
      <w:r w:rsidR="002B14B3">
        <w:rPr>
          <w:rFonts w:ascii="Arial" w:hAnsi="Arial" w:cs="Arial"/>
        </w:rPr>
        <w:t xml:space="preserve"> A first alternative is to follow the behaviour defined while the SCG is activated i.e. upon BFD the UE performs BFR</w:t>
      </w:r>
      <w:r w:rsidR="00EC0EAF">
        <w:rPr>
          <w:rFonts w:ascii="Arial" w:hAnsi="Arial" w:cs="Arial"/>
        </w:rPr>
        <w:t>,</w:t>
      </w:r>
      <w:r w:rsidR="002B14B3">
        <w:rPr>
          <w:rFonts w:ascii="Arial" w:hAnsi="Arial" w:cs="Arial"/>
        </w:rPr>
        <w:t xml:space="preserve"> which leads to a random access to the PSCell. The benefit of this alternative is that beam alignment </w:t>
      </w:r>
      <w:r w:rsidR="00EC0EAF">
        <w:rPr>
          <w:rFonts w:ascii="Arial" w:hAnsi="Arial" w:cs="Arial"/>
        </w:rPr>
        <w:t>w</w:t>
      </w:r>
      <w:r w:rsidR="002B14B3">
        <w:rPr>
          <w:rFonts w:ascii="Arial" w:hAnsi="Arial" w:cs="Arial"/>
        </w:rPr>
        <w:t>ould always be assumed while SCG is deactivated.</w:t>
      </w:r>
      <w:r w:rsidR="00EC0EAF">
        <w:rPr>
          <w:rFonts w:ascii="Arial" w:hAnsi="Arial" w:cs="Arial"/>
        </w:rPr>
        <w:t xml:space="preserve"> The drawback is</w:t>
      </w:r>
      <w:r w:rsidR="00F13FFC">
        <w:rPr>
          <w:rFonts w:ascii="Arial" w:hAnsi="Arial" w:cs="Arial"/>
        </w:rPr>
        <w:t xml:space="preserve"> however</w:t>
      </w:r>
      <w:r w:rsidR="00EC0EAF">
        <w:rPr>
          <w:rFonts w:ascii="Arial" w:hAnsi="Arial" w:cs="Arial"/>
        </w:rPr>
        <w:t xml:space="preserve"> </w:t>
      </w:r>
      <w:r w:rsidR="00F13FFC">
        <w:rPr>
          <w:rFonts w:ascii="Arial" w:hAnsi="Arial" w:cs="Arial"/>
        </w:rPr>
        <w:t xml:space="preserve">increased UE power consumption, </w:t>
      </w:r>
      <w:r w:rsidR="00EC0EAF">
        <w:rPr>
          <w:rFonts w:ascii="Arial" w:hAnsi="Arial" w:cs="Arial"/>
        </w:rPr>
        <w:t xml:space="preserve">similar to the </w:t>
      </w:r>
      <w:r w:rsidR="00F13FFC">
        <w:rPr>
          <w:rFonts w:ascii="Arial" w:hAnsi="Arial" w:cs="Arial"/>
        </w:rPr>
        <w:t>case of maintaining the UL Time Alignment.</w:t>
      </w:r>
      <w:r w:rsidR="002B14B3">
        <w:rPr>
          <w:rFonts w:ascii="Arial" w:hAnsi="Arial" w:cs="Arial"/>
        </w:rPr>
        <w:t xml:space="preserve"> A second alternative is the reporting of PSCell BFR via the MCG. The benefit of this alternative is that the network can decide to take some action or not e.g. trigger an SCG  re-configuration and/or SCG activation.</w:t>
      </w:r>
      <w:r w:rsidR="00A8215F">
        <w:rPr>
          <w:rFonts w:ascii="Arial" w:hAnsi="Arial" w:cs="Arial"/>
        </w:rPr>
        <w:t xml:space="preserve"> As </w:t>
      </w:r>
      <w:r>
        <w:rPr>
          <w:rFonts w:ascii="Arial" w:hAnsi="Arial" w:cs="Arial"/>
        </w:rPr>
        <w:t xml:space="preserve">commented in the email discussion, </w:t>
      </w:r>
      <w:r w:rsidR="00A8215F">
        <w:rPr>
          <w:rFonts w:ascii="Arial" w:hAnsi="Arial" w:cs="Arial"/>
        </w:rPr>
        <w:t xml:space="preserve">a third </w:t>
      </w:r>
      <w:r>
        <w:rPr>
          <w:rFonts w:ascii="Arial" w:hAnsi="Arial" w:cs="Arial"/>
        </w:rPr>
        <w:t>possible</w:t>
      </w:r>
      <w:r w:rsidR="00A8215F">
        <w:rPr>
          <w:rFonts w:ascii="Arial" w:hAnsi="Arial" w:cs="Arial"/>
        </w:rPr>
        <w:t xml:space="preserve"> </w:t>
      </w:r>
      <w:r>
        <w:rPr>
          <w:rFonts w:ascii="Arial" w:hAnsi="Arial" w:cs="Arial"/>
        </w:rPr>
        <w:t>solution is to d</w:t>
      </w:r>
      <w:r w:rsidRPr="00455651">
        <w:rPr>
          <w:rFonts w:ascii="Arial" w:hAnsi="Arial" w:cs="Arial"/>
        </w:rPr>
        <w:t>elay the triggering of random access until SCG activation</w:t>
      </w:r>
      <w:r>
        <w:rPr>
          <w:rFonts w:ascii="Arial" w:hAnsi="Arial" w:cs="Arial"/>
        </w:rPr>
        <w:t xml:space="preserve"> [1]</w:t>
      </w:r>
      <w:r w:rsidR="00F13FFC">
        <w:rPr>
          <w:rFonts w:ascii="Arial" w:hAnsi="Arial" w:cs="Arial"/>
        </w:rPr>
        <w:t>.</w:t>
      </w:r>
      <w:r>
        <w:rPr>
          <w:rFonts w:ascii="Arial" w:hAnsi="Arial" w:cs="Arial"/>
        </w:rPr>
        <w:t xml:space="preserve"> </w:t>
      </w:r>
      <w:r w:rsidR="00F13FFC">
        <w:rPr>
          <w:rFonts w:ascii="Arial" w:hAnsi="Arial" w:cs="Arial"/>
        </w:rPr>
        <w:t>U</w:t>
      </w:r>
      <w:r w:rsidRPr="00455651">
        <w:rPr>
          <w:rFonts w:ascii="Arial" w:hAnsi="Arial" w:cs="Arial"/>
        </w:rPr>
        <w:t>pon BFD the UE simply becomes aware that when it is time to activate the SCG it needs to perform random access.</w:t>
      </w:r>
      <w:r>
        <w:rPr>
          <w:rFonts w:ascii="Arial" w:hAnsi="Arial" w:cs="Arial"/>
        </w:rPr>
        <w:t xml:space="preserve"> </w:t>
      </w:r>
      <w:r w:rsidR="00A8215F">
        <w:rPr>
          <w:rFonts w:ascii="Arial" w:hAnsi="Arial" w:cs="Arial"/>
        </w:rPr>
        <w:t xml:space="preserve">This third </w:t>
      </w:r>
      <w:r>
        <w:rPr>
          <w:rFonts w:ascii="Arial" w:hAnsi="Arial" w:cs="Arial"/>
        </w:rPr>
        <w:t xml:space="preserve">alternative could possibly be a </w:t>
      </w:r>
      <w:r w:rsidR="00C56388">
        <w:rPr>
          <w:rFonts w:ascii="Arial" w:hAnsi="Arial" w:cs="Arial"/>
        </w:rPr>
        <w:t xml:space="preserve">decent </w:t>
      </w:r>
      <w:r>
        <w:rPr>
          <w:rFonts w:ascii="Arial" w:hAnsi="Arial" w:cs="Arial"/>
        </w:rPr>
        <w:t xml:space="preserve">compromise between readiness for activation and power consumption while deactivated if CSI is disabled. </w:t>
      </w:r>
      <w:r w:rsidR="00BB6031">
        <w:rPr>
          <w:rFonts w:ascii="Arial" w:hAnsi="Arial" w:cs="Arial"/>
        </w:rPr>
        <w:t>In other words, when the SCG is deactivated, the UE perform</w:t>
      </w:r>
      <w:r w:rsidR="00F13FFC">
        <w:rPr>
          <w:rFonts w:ascii="Arial" w:hAnsi="Arial" w:cs="Arial"/>
        </w:rPr>
        <w:t>s</w:t>
      </w:r>
      <w:r w:rsidR="00BB6031">
        <w:rPr>
          <w:rFonts w:ascii="Arial" w:hAnsi="Arial" w:cs="Arial"/>
        </w:rPr>
        <w:t xml:space="preserve"> BFD and keep</w:t>
      </w:r>
      <w:r w:rsidR="00F13FFC">
        <w:rPr>
          <w:rFonts w:ascii="Arial" w:hAnsi="Arial" w:cs="Arial"/>
        </w:rPr>
        <w:t>s</w:t>
      </w:r>
      <w:r w:rsidR="00BB6031">
        <w:rPr>
          <w:rFonts w:ascii="Arial" w:hAnsi="Arial" w:cs="Arial"/>
        </w:rPr>
        <w:t xml:space="preserve"> TA timer running. If the SCG is to be activated and TA timer is still running</w:t>
      </w:r>
      <w:r w:rsidR="00F13FFC">
        <w:rPr>
          <w:rFonts w:ascii="Arial" w:hAnsi="Arial" w:cs="Arial"/>
        </w:rPr>
        <w:t xml:space="preserve"> and BFD was not declared</w:t>
      </w:r>
      <w:r w:rsidR="00BB6031">
        <w:rPr>
          <w:rFonts w:ascii="Arial" w:hAnsi="Arial" w:cs="Arial"/>
        </w:rPr>
        <w:t xml:space="preserve">, the UE activates the PSCell without random access. </w:t>
      </w:r>
    </w:p>
    <w:p w14:paraId="607F51F7" w14:textId="37D414D9" w:rsidR="002F61E6" w:rsidRDefault="002F61E6" w:rsidP="008F14C7">
      <w:pPr>
        <w:pStyle w:val="Proposal"/>
        <w:tabs>
          <w:tab w:val="clear" w:pos="1304"/>
          <w:tab w:val="num" w:pos="1701"/>
        </w:tabs>
      </w:pPr>
      <w:bookmarkStart w:id="28" w:name="_Toc61544834"/>
      <w:r>
        <w:rPr>
          <w:rFonts w:cs="Arial"/>
        </w:rPr>
        <w:t>When the SCG is to be activated, if TA timer is still running and BFD was not declared, the UE activates the PSCell without random access.</w:t>
      </w:r>
      <w:bookmarkEnd w:id="28"/>
    </w:p>
    <w:p w14:paraId="40C8CBEF" w14:textId="76E0F5E9" w:rsidR="006453AC" w:rsidRPr="006453AC" w:rsidRDefault="006453AC" w:rsidP="008E18F5">
      <w:pPr>
        <w:pStyle w:val="Proposal"/>
        <w:tabs>
          <w:tab w:val="clear" w:pos="1304"/>
          <w:tab w:val="clear" w:pos="1701"/>
          <w:tab w:val="num" w:pos="2127"/>
        </w:tabs>
      </w:pPr>
      <w:bookmarkStart w:id="29" w:name="_Toc61544835"/>
      <w:r>
        <w:rPr>
          <w:rFonts w:cs="Arial"/>
        </w:rPr>
        <w:t xml:space="preserve">If </w:t>
      </w:r>
      <w:r w:rsidR="002F61E6">
        <w:rPr>
          <w:rFonts w:cs="Arial"/>
        </w:rPr>
        <w:t xml:space="preserve">BFD </w:t>
      </w:r>
      <w:r>
        <w:rPr>
          <w:rFonts w:cs="Arial"/>
        </w:rPr>
        <w:t xml:space="preserve">is </w:t>
      </w:r>
      <w:r w:rsidR="002F61E6">
        <w:rPr>
          <w:rFonts w:cs="Arial"/>
        </w:rPr>
        <w:t>declared</w:t>
      </w:r>
      <w:r>
        <w:rPr>
          <w:rFonts w:cs="Arial"/>
        </w:rPr>
        <w:t xml:space="preserve"> while SCG is deactivated</w:t>
      </w:r>
      <w:r w:rsidR="00272002">
        <w:rPr>
          <w:rFonts w:cs="Arial"/>
        </w:rPr>
        <w:t>, FFS</w:t>
      </w:r>
      <w:r w:rsidR="00BB6031">
        <w:rPr>
          <w:rFonts w:cs="Arial"/>
        </w:rPr>
        <w:t xml:space="preserve"> whether the UE</w:t>
      </w:r>
      <w:r>
        <w:rPr>
          <w:rFonts w:cs="Arial"/>
        </w:rPr>
        <w:t>:</w:t>
      </w:r>
      <w:bookmarkEnd w:id="29"/>
    </w:p>
    <w:p w14:paraId="56E9E3AF" w14:textId="2F46ED46" w:rsidR="002F61E6" w:rsidRPr="00272002" w:rsidRDefault="00272002" w:rsidP="008E18F5">
      <w:pPr>
        <w:pStyle w:val="Proposal"/>
        <w:numPr>
          <w:ilvl w:val="1"/>
          <w:numId w:val="2"/>
        </w:numPr>
        <w:tabs>
          <w:tab w:val="clear" w:pos="1440"/>
          <w:tab w:val="clear" w:pos="1701"/>
          <w:tab w:val="left" w:pos="1843"/>
        </w:tabs>
        <w:ind w:left="2127" w:hanging="426"/>
      </w:pPr>
      <w:bookmarkStart w:id="30" w:name="_Toc61544836"/>
      <w:r>
        <w:rPr>
          <w:rFonts w:cs="Arial"/>
        </w:rPr>
        <w:t>performs BFR on PSCell;</w:t>
      </w:r>
      <w:bookmarkEnd w:id="30"/>
    </w:p>
    <w:p w14:paraId="70FFF8F5" w14:textId="4F095332" w:rsidR="00272002" w:rsidRPr="00272002" w:rsidRDefault="00272002" w:rsidP="008E18F5">
      <w:pPr>
        <w:pStyle w:val="Proposal"/>
        <w:numPr>
          <w:ilvl w:val="1"/>
          <w:numId w:val="2"/>
        </w:numPr>
        <w:tabs>
          <w:tab w:val="clear" w:pos="1440"/>
          <w:tab w:val="clear" w:pos="1701"/>
          <w:tab w:val="left" w:pos="1843"/>
        </w:tabs>
        <w:ind w:left="2127" w:hanging="426"/>
        <w:rPr>
          <w:lang w:val="sv-SE"/>
        </w:rPr>
      </w:pPr>
      <w:bookmarkStart w:id="31" w:name="_Toc61544837"/>
      <w:r w:rsidRPr="00760D2A">
        <w:rPr>
          <w:rFonts w:cs="Arial"/>
          <w:lang w:val="sv-SE"/>
        </w:rPr>
        <w:t>reports BFR via M</w:t>
      </w:r>
      <w:r>
        <w:rPr>
          <w:rFonts w:cs="Arial"/>
          <w:lang w:val="sv-SE"/>
        </w:rPr>
        <w:t>CG;</w:t>
      </w:r>
      <w:bookmarkEnd w:id="31"/>
    </w:p>
    <w:p w14:paraId="52CE8E96" w14:textId="3DA966BD" w:rsidR="00272002" w:rsidRPr="00760D2A" w:rsidRDefault="00BB6031" w:rsidP="008E18F5">
      <w:pPr>
        <w:pStyle w:val="Proposal"/>
        <w:numPr>
          <w:ilvl w:val="1"/>
          <w:numId w:val="2"/>
        </w:numPr>
        <w:tabs>
          <w:tab w:val="clear" w:pos="1440"/>
          <w:tab w:val="clear" w:pos="1701"/>
          <w:tab w:val="left" w:pos="1843"/>
        </w:tabs>
        <w:ind w:left="2127" w:hanging="426"/>
        <w:rPr>
          <w:lang w:val="en-US"/>
        </w:rPr>
      </w:pPr>
      <w:bookmarkStart w:id="32" w:name="_Toc61544838"/>
      <w:r w:rsidRPr="00760D2A">
        <w:rPr>
          <w:rFonts w:cs="Arial"/>
          <w:lang w:val="en-US"/>
        </w:rPr>
        <w:t>waits until it ne</w:t>
      </w:r>
      <w:r>
        <w:rPr>
          <w:rFonts w:cs="Arial"/>
          <w:lang w:val="en-US"/>
        </w:rPr>
        <w:t>eds to activate SCG and perform random access</w:t>
      </w:r>
      <w:r w:rsidR="00C066E2">
        <w:rPr>
          <w:rFonts w:cs="Arial"/>
          <w:lang w:val="en-US"/>
        </w:rPr>
        <w:t>.</w:t>
      </w:r>
      <w:bookmarkEnd w:id="32"/>
    </w:p>
    <w:p w14:paraId="6149B589" w14:textId="77777777" w:rsidR="00911565" w:rsidRPr="00E166D3" w:rsidRDefault="00911565" w:rsidP="00911565">
      <w:pPr>
        <w:rPr>
          <w:b/>
          <w:bCs/>
          <w:i/>
          <w:iCs/>
          <w:sz w:val="24"/>
          <w:szCs w:val="24"/>
          <w:u w:val="single"/>
        </w:rPr>
      </w:pPr>
      <w:r w:rsidRPr="00E166D3">
        <w:rPr>
          <w:b/>
          <w:bCs/>
          <w:i/>
          <w:iCs/>
          <w:sz w:val="24"/>
          <w:szCs w:val="24"/>
          <w:u w:val="single"/>
        </w:rPr>
        <w:t xml:space="preserve">Beam management/CSI </w:t>
      </w:r>
    </w:p>
    <w:p w14:paraId="0630EABE" w14:textId="58B679F3" w:rsidR="00C56388" w:rsidRDefault="00C56388" w:rsidP="00911565">
      <w:pPr>
        <w:pStyle w:val="BodyText"/>
      </w:pPr>
      <w:r>
        <w:t xml:space="preserve">Assuming BFD while the SCG is deactivated seems to be a good compromise </w:t>
      </w:r>
      <w:r>
        <w:rPr>
          <w:rFonts w:cs="Arial"/>
        </w:rPr>
        <w:t xml:space="preserve">between readiness for activation and power consumption while deactivated if CSI is disabled. However, in some scenarios, beam alignment might not be possible to be maintained i.e. most of the time or always when the SCG is deactivated the UE loses beam alignment and would always rely on random access anyways. One way to </w:t>
      </w:r>
      <w:r w:rsidR="00F511C7">
        <w:rPr>
          <w:rFonts w:cs="Arial"/>
        </w:rPr>
        <w:t xml:space="preserve">address </w:t>
      </w:r>
      <w:r>
        <w:rPr>
          <w:rFonts w:cs="Arial"/>
        </w:rPr>
        <w:t>these scenarios is to further allow some form of beam management/CSI while the SCG is deactivated (e.g. CSI reporting via MCG and/or TCI state indications via MCG).</w:t>
      </w:r>
    </w:p>
    <w:p w14:paraId="140BA825" w14:textId="1CB5266A" w:rsidR="00911565" w:rsidRDefault="00911565" w:rsidP="00911565">
      <w:pPr>
        <w:pStyle w:val="BodyText"/>
      </w:pPr>
      <w:r>
        <w:t>When the SCG is activated, beam alignment is achieved by the UE performing CSI measurements, reporting</w:t>
      </w:r>
      <w:r w:rsidR="00F511C7">
        <w:t xml:space="preserve"> these</w:t>
      </w:r>
      <w:r>
        <w:t xml:space="preserve"> to the network and receiving MAC CEs indicating the TCI state(s) to be activated i.e. indicating the beams the UE should assume to monitor PDCCH and/or to transmit on PUCCH/PUSCH. If such a procedure is enabled while the SCG is deactivated, the highest level of readiness can be achieved i.e. when the SCG is to be activated, the UE is ready to directly monitor PDCCH in the right DL beam and transmit scheduling requests on PUCCH.</w:t>
      </w:r>
    </w:p>
    <w:p w14:paraId="63C62BAC" w14:textId="346EF68C" w:rsidR="00911565" w:rsidRPr="00540DD8" w:rsidRDefault="00911565" w:rsidP="00911565">
      <w:pPr>
        <w:rPr>
          <w:rFonts w:ascii="Arial" w:hAnsi="Arial" w:cs="Arial"/>
        </w:rPr>
      </w:pPr>
      <w:r w:rsidRPr="00540DD8">
        <w:rPr>
          <w:rFonts w:ascii="Arial" w:hAnsi="Arial" w:cs="Arial"/>
        </w:rPr>
        <w:t xml:space="preserve">In the email </w:t>
      </w:r>
      <w:r>
        <w:rPr>
          <w:rFonts w:ascii="Arial" w:hAnsi="Arial" w:cs="Arial"/>
        </w:rPr>
        <w:t>discussion</w:t>
      </w:r>
      <w:r w:rsidR="00F511C7">
        <w:rPr>
          <w:rFonts w:ascii="Arial" w:hAnsi="Arial" w:cs="Arial"/>
        </w:rPr>
        <w:t xml:space="preserve"> </w:t>
      </w:r>
      <w:r w:rsidR="00F511C7">
        <w:rPr>
          <w:rFonts w:ascii="Arial" w:hAnsi="Arial" w:cs="Arial"/>
        </w:rPr>
        <w:fldChar w:fldCharType="begin"/>
      </w:r>
      <w:r w:rsidR="00F511C7">
        <w:rPr>
          <w:rFonts w:ascii="Arial" w:hAnsi="Arial" w:cs="Arial"/>
        </w:rPr>
        <w:instrText xml:space="preserve"> REF _Ref53453896 \r \h </w:instrText>
      </w:r>
      <w:r w:rsidR="00F511C7">
        <w:rPr>
          <w:rFonts w:ascii="Arial" w:hAnsi="Arial" w:cs="Arial"/>
        </w:rPr>
      </w:r>
      <w:r w:rsidR="00F511C7">
        <w:rPr>
          <w:rFonts w:ascii="Arial" w:hAnsi="Arial" w:cs="Arial"/>
        </w:rPr>
        <w:fldChar w:fldCharType="separate"/>
      </w:r>
      <w:r w:rsidR="00785697">
        <w:rPr>
          <w:rFonts w:ascii="Arial" w:hAnsi="Arial" w:cs="Arial"/>
        </w:rPr>
        <w:t>[1]</w:t>
      </w:r>
      <w:r w:rsidR="00F511C7">
        <w:rPr>
          <w:rFonts w:ascii="Arial" w:hAnsi="Arial" w:cs="Arial"/>
        </w:rPr>
        <w:fldChar w:fldCharType="end"/>
      </w:r>
      <w:r>
        <w:rPr>
          <w:rFonts w:ascii="Arial" w:hAnsi="Arial" w:cs="Arial"/>
        </w:rPr>
        <w:t xml:space="preserve">, the CSI framework for deactivated SCG was discussed. There has been some confusion, but in our interpretation the issue in the email discussion is about CSI measurements and reporting according to ServingCellConfig configuration i.e. for beam management, link adaptation, etc., and not RRM measurements based on CSI-RS, according to CSI-MeasConfig. In the email discussion, </w:t>
      </w:r>
      <w:r w:rsidRPr="00540DD8">
        <w:rPr>
          <w:rFonts w:ascii="Arial" w:hAnsi="Arial" w:cs="Arial"/>
        </w:rPr>
        <w:t xml:space="preserve">11 companies answered </w:t>
      </w:r>
      <w:r>
        <w:rPr>
          <w:rFonts w:ascii="Arial" w:hAnsi="Arial" w:cs="Arial"/>
        </w:rPr>
        <w:t>“</w:t>
      </w:r>
      <w:r w:rsidRPr="00540DD8">
        <w:rPr>
          <w:rFonts w:ascii="Arial" w:hAnsi="Arial" w:cs="Arial"/>
        </w:rPr>
        <w:t>no</w:t>
      </w:r>
      <w:r>
        <w:rPr>
          <w:rFonts w:ascii="Arial" w:hAnsi="Arial" w:cs="Arial"/>
        </w:rPr>
        <w:t>”</w:t>
      </w:r>
      <w:r w:rsidRPr="00540DD8">
        <w:rPr>
          <w:rFonts w:ascii="Arial" w:hAnsi="Arial" w:cs="Arial"/>
        </w:rPr>
        <w:t xml:space="preserve">, 10 companies answered </w:t>
      </w:r>
      <w:r>
        <w:rPr>
          <w:rFonts w:ascii="Arial" w:hAnsi="Arial" w:cs="Arial"/>
        </w:rPr>
        <w:t>“</w:t>
      </w:r>
      <w:r w:rsidRPr="00540DD8">
        <w:rPr>
          <w:rFonts w:ascii="Arial" w:hAnsi="Arial" w:cs="Arial"/>
        </w:rPr>
        <w:t>yes</w:t>
      </w:r>
      <w:r>
        <w:rPr>
          <w:rFonts w:ascii="Arial" w:hAnsi="Arial" w:cs="Arial"/>
        </w:rPr>
        <w:t>”</w:t>
      </w:r>
      <w:r w:rsidRPr="00540DD8">
        <w:rPr>
          <w:rFonts w:ascii="Arial" w:hAnsi="Arial" w:cs="Arial"/>
        </w:rPr>
        <w:t xml:space="preserve">, 2 companies answered </w:t>
      </w:r>
      <w:r>
        <w:rPr>
          <w:rFonts w:ascii="Arial" w:hAnsi="Arial" w:cs="Arial"/>
        </w:rPr>
        <w:t>“</w:t>
      </w:r>
      <w:r w:rsidRPr="00540DD8">
        <w:rPr>
          <w:rFonts w:ascii="Arial" w:hAnsi="Arial" w:cs="Arial"/>
        </w:rPr>
        <w:t>maybe</w:t>
      </w:r>
      <w:r>
        <w:rPr>
          <w:rFonts w:ascii="Arial" w:hAnsi="Arial" w:cs="Arial"/>
        </w:rPr>
        <w:t>”</w:t>
      </w:r>
      <w:r w:rsidRPr="00540DD8">
        <w:rPr>
          <w:rFonts w:ascii="Arial" w:hAnsi="Arial" w:cs="Arial"/>
        </w:rPr>
        <w:t>.</w:t>
      </w:r>
    </w:p>
    <w:p w14:paraId="44865CB2" w14:textId="2126444C" w:rsidR="00911565" w:rsidRDefault="00911565" w:rsidP="00911565">
      <w:pPr>
        <w:rPr>
          <w:rFonts w:ascii="Arial" w:hAnsi="Arial" w:cs="Arial"/>
        </w:rPr>
      </w:pPr>
      <w:r>
        <w:rPr>
          <w:rFonts w:ascii="Arial" w:hAnsi="Arial" w:cs="Arial"/>
        </w:rPr>
        <w:t>Rapporteur have argued that c</w:t>
      </w:r>
      <w:r w:rsidRPr="00540DD8">
        <w:rPr>
          <w:rFonts w:ascii="Arial" w:hAnsi="Arial" w:cs="Arial"/>
        </w:rPr>
        <w:t xml:space="preserve">ompanies that said </w:t>
      </w:r>
      <w:r>
        <w:rPr>
          <w:rFonts w:ascii="Arial" w:hAnsi="Arial" w:cs="Arial"/>
        </w:rPr>
        <w:t>“</w:t>
      </w:r>
      <w:r w:rsidRPr="00540DD8">
        <w:rPr>
          <w:rFonts w:ascii="Arial" w:hAnsi="Arial" w:cs="Arial"/>
        </w:rPr>
        <w:t>no</w:t>
      </w:r>
      <w:r>
        <w:rPr>
          <w:rFonts w:ascii="Arial" w:hAnsi="Arial" w:cs="Arial"/>
        </w:rPr>
        <w:t>”</w:t>
      </w:r>
      <w:r w:rsidRPr="00540DD8">
        <w:rPr>
          <w:rFonts w:ascii="Arial" w:hAnsi="Arial" w:cs="Arial"/>
        </w:rPr>
        <w:t xml:space="preserve"> seem relatively convinced</w:t>
      </w:r>
      <w:r>
        <w:rPr>
          <w:rFonts w:ascii="Arial" w:hAnsi="Arial" w:cs="Arial"/>
        </w:rPr>
        <w:t xml:space="preserve">. However, these companies have ignored that the solution in Rel-17 requires a deactivated SCG to be as ready as possible upon SCG activation (i.e. possibly activating SCG without the need for random access) to have significant latency </w:t>
      </w:r>
      <w:r w:rsidR="00A12BC0">
        <w:rPr>
          <w:rFonts w:ascii="Arial" w:hAnsi="Arial" w:cs="Arial"/>
        </w:rPr>
        <w:t xml:space="preserve">and performance </w:t>
      </w:r>
      <w:r>
        <w:rPr>
          <w:rFonts w:ascii="Arial" w:hAnsi="Arial" w:cs="Arial"/>
        </w:rPr>
        <w:t>gains compared to a legacy solution based on SCG Release and Add.</w:t>
      </w:r>
    </w:p>
    <w:p w14:paraId="719EF220" w14:textId="77777777" w:rsidR="00911565" w:rsidRDefault="00911565" w:rsidP="00911565">
      <w:pPr>
        <w:rPr>
          <w:rFonts w:ascii="Arial" w:hAnsi="Arial" w:cs="Arial"/>
        </w:rPr>
      </w:pPr>
      <w:r>
        <w:rPr>
          <w:rFonts w:ascii="Arial" w:hAnsi="Arial" w:cs="Arial"/>
        </w:rPr>
        <w:t xml:space="preserve">For the </w:t>
      </w:r>
      <w:r w:rsidRPr="00540DD8">
        <w:rPr>
          <w:rFonts w:ascii="Arial" w:hAnsi="Arial" w:cs="Arial"/>
        </w:rPr>
        <w:t xml:space="preserve">companies that said </w:t>
      </w:r>
      <w:r>
        <w:rPr>
          <w:rFonts w:ascii="Arial" w:hAnsi="Arial" w:cs="Arial"/>
        </w:rPr>
        <w:t>“</w:t>
      </w:r>
      <w:r w:rsidRPr="00540DD8">
        <w:rPr>
          <w:rFonts w:ascii="Arial" w:hAnsi="Arial" w:cs="Arial"/>
        </w:rPr>
        <w:t>yes</w:t>
      </w:r>
      <w:r>
        <w:rPr>
          <w:rFonts w:ascii="Arial" w:hAnsi="Arial" w:cs="Arial"/>
        </w:rPr>
        <w:t>”</w:t>
      </w:r>
      <w:r w:rsidRPr="00540DD8">
        <w:rPr>
          <w:rFonts w:ascii="Arial" w:hAnsi="Arial" w:cs="Arial"/>
        </w:rPr>
        <w:t xml:space="preserve"> </w:t>
      </w:r>
      <w:r>
        <w:rPr>
          <w:rFonts w:ascii="Arial" w:hAnsi="Arial" w:cs="Arial"/>
        </w:rPr>
        <w:t xml:space="preserve">rapporteur have argued that companies </w:t>
      </w:r>
      <w:r w:rsidRPr="00540DD8">
        <w:rPr>
          <w:rFonts w:ascii="Arial" w:hAnsi="Arial" w:cs="Arial"/>
        </w:rPr>
        <w:t xml:space="preserve">did not </w:t>
      </w:r>
      <w:r>
        <w:rPr>
          <w:rFonts w:ascii="Arial" w:hAnsi="Arial" w:cs="Arial"/>
        </w:rPr>
        <w:t>address the issue related to reporting, and the following comments are provided:</w:t>
      </w:r>
    </w:p>
    <w:p w14:paraId="79BBB12E" w14:textId="77777777" w:rsidR="00911565" w:rsidRDefault="00911565" w:rsidP="002C7158">
      <w:pPr>
        <w:pStyle w:val="ListParagraph"/>
        <w:numPr>
          <w:ilvl w:val="0"/>
          <w:numId w:val="13"/>
        </w:numPr>
        <w:rPr>
          <w:rFonts w:ascii="Arial" w:hAnsi="Arial" w:cs="Arial"/>
          <w:sz w:val="20"/>
          <w:szCs w:val="20"/>
        </w:rPr>
      </w:pPr>
      <w:r>
        <w:rPr>
          <w:rFonts w:ascii="Arial" w:hAnsi="Arial" w:cs="Arial"/>
          <w:sz w:val="20"/>
          <w:szCs w:val="20"/>
        </w:rPr>
        <w:t>“</w:t>
      </w:r>
      <w:r w:rsidRPr="00B16922">
        <w:rPr>
          <w:rFonts w:ascii="Arial" w:hAnsi="Arial" w:cs="Arial"/>
          <w:sz w:val="20"/>
          <w:szCs w:val="20"/>
        </w:rPr>
        <w:t>Upon SCG activation, it is likely that the UE has to perform RACH on the SN in order to acquire UL timing. Since the RACH procedure delay is expected to be higher than the delay if UE performs CSI-RS measurements and reporting after SCG activation, the gain in terms of delay from performing CSI-RS measurements and reporting before SCG activation, i.e., in SCG deactivated state, does not seem significant.</w:t>
      </w:r>
      <w:r>
        <w:rPr>
          <w:rFonts w:ascii="Arial" w:hAnsi="Arial" w:cs="Arial"/>
          <w:sz w:val="20"/>
          <w:szCs w:val="20"/>
        </w:rPr>
        <w:t>”</w:t>
      </w:r>
    </w:p>
    <w:p w14:paraId="30891FC8" w14:textId="4C8CDFE9" w:rsidR="00911565" w:rsidRPr="000026FA" w:rsidRDefault="00911565" w:rsidP="00911565">
      <w:pPr>
        <w:ind w:left="720"/>
        <w:rPr>
          <w:rFonts w:ascii="Arial" w:hAnsi="Arial" w:cs="Arial"/>
          <w:i/>
          <w:iCs/>
        </w:rPr>
      </w:pPr>
      <w:r w:rsidRPr="000026FA">
        <w:rPr>
          <w:rFonts w:ascii="Arial" w:hAnsi="Arial" w:cs="Arial"/>
          <w:i/>
          <w:iCs/>
          <w:lang w:val="en-US"/>
        </w:rPr>
        <w:t>Ericsson view: The argument above has many underlaying assumption</w:t>
      </w:r>
      <w:r>
        <w:rPr>
          <w:rFonts w:ascii="Arial" w:hAnsi="Arial" w:cs="Arial"/>
          <w:i/>
          <w:iCs/>
          <w:lang w:val="en-US"/>
        </w:rPr>
        <w:t>s</w:t>
      </w:r>
      <w:r w:rsidRPr="000026FA">
        <w:rPr>
          <w:rFonts w:ascii="Arial" w:hAnsi="Arial" w:cs="Arial"/>
          <w:i/>
          <w:iCs/>
          <w:lang w:val="en-US"/>
        </w:rPr>
        <w:t xml:space="preserve"> that were not discussed. If UL TA is maintained as discussed in section 2.</w:t>
      </w:r>
      <w:r w:rsidR="00E81349">
        <w:rPr>
          <w:rFonts w:ascii="Arial" w:hAnsi="Arial" w:cs="Arial"/>
          <w:i/>
          <w:iCs/>
          <w:lang w:val="en-US"/>
        </w:rPr>
        <w:t>3.1</w:t>
      </w:r>
      <w:r w:rsidRPr="000026FA">
        <w:rPr>
          <w:rFonts w:ascii="Arial" w:hAnsi="Arial" w:cs="Arial"/>
          <w:i/>
          <w:iCs/>
          <w:lang w:val="en-US"/>
        </w:rPr>
        <w:t xml:space="preserve">, random access may not be needed to activate the SCG. </w:t>
      </w:r>
    </w:p>
    <w:p w14:paraId="17950F0E" w14:textId="77777777" w:rsidR="00911565" w:rsidRPr="000F2894" w:rsidRDefault="00911565" w:rsidP="002C7158">
      <w:pPr>
        <w:pStyle w:val="ListParagraph"/>
        <w:numPr>
          <w:ilvl w:val="0"/>
          <w:numId w:val="13"/>
        </w:numPr>
        <w:rPr>
          <w:rFonts w:ascii="Arial" w:hAnsi="Arial" w:cs="Arial"/>
          <w:sz w:val="20"/>
          <w:szCs w:val="20"/>
        </w:rPr>
      </w:pPr>
      <w:r>
        <w:rPr>
          <w:rFonts w:ascii="Arial" w:hAnsi="Arial" w:cs="Arial"/>
          <w:sz w:val="20"/>
          <w:szCs w:val="20"/>
        </w:rPr>
        <w:t>“</w:t>
      </w:r>
      <w:r w:rsidRPr="000F2894">
        <w:rPr>
          <w:rFonts w:ascii="Arial" w:hAnsi="Arial" w:cs="Arial"/>
          <w:sz w:val="20"/>
          <w:szCs w:val="20"/>
        </w:rPr>
        <w:t xml:space="preserve"> To be able to perform CSI reporting, UE needs to maintain UL timing with the SN. Maintaining UL timing requires UE to be able to receive Timing Adjustment commands from SN through either of the following means, one of which impacts power consumption and the other involves significant specification changes.</w:t>
      </w:r>
      <w:r>
        <w:rPr>
          <w:rFonts w:ascii="Arial" w:hAnsi="Arial" w:cs="Arial"/>
          <w:sz w:val="20"/>
          <w:szCs w:val="20"/>
        </w:rPr>
        <w:t>”</w:t>
      </w:r>
    </w:p>
    <w:p w14:paraId="4C6F45EE" w14:textId="43F9A7BA" w:rsidR="00911565" w:rsidRPr="000026FA" w:rsidRDefault="00911565" w:rsidP="00911565">
      <w:pPr>
        <w:ind w:left="720"/>
        <w:rPr>
          <w:rFonts w:ascii="Arial" w:hAnsi="Arial" w:cs="Arial"/>
          <w:i/>
          <w:iCs/>
        </w:rPr>
      </w:pPr>
      <w:r w:rsidRPr="000026FA">
        <w:rPr>
          <w:rFonts w:ascii="Arial" w:hAnsi="Arial" w:cs="Arial"/>
          <w:i/>
          <w:iCs/>
          <w:lang w:val="en-US"/>
        </w:rPr>
        <w:t>Ericsson view: As explained in section 2.</w:t>
      </w:r>
      <w:r w:rsidR="00E81349">
        <w:rPr>
          <w:rFonts w:ascii="Arial" w:hAnsi="Arial" w:cs="Arial"/>
          <w:i/>
          <w:iCs/>
          <w:lang w:val="en-US"/>
        </w:rPr>
        <w:t>3.1</w:t>
      </w:r>
      <w:r w:rsidRPr="000026FA">
        <w:rPr>
          <w:rFonts w:ascii="Arial" w:hAnsi="Arial" w:cs="Arial"/>
          <w:i/>
          <w:iCs/>
          <w:lang w:val="en-US"/>
        </w:rPr>
        <w:t xml:space="preserve">, UL TA could be maintained either actively (based on TA command) or passively (based on TA timer). There is not necessarily a need to receive TA commands. </w:t>
      </w:r>
    </w:p>
    <w:p w14:paraId="63DA9DFD" w14:textId="77777777" w:rsidR="00911565" w:rsidRDefault="00911565" w:rsidP="00911565">
      <w:pPr>
        <w:rPr>
          <w:rFonts w:ascii="Arial" w:hAnsi="Arial" w:cs="Arial"/>
        </w:rPr>
      </w:pPr>
      <w:r>
        <w:rPr>
          <w:rFonts w:ascii="Arial" w:hAnsi="Arial" w:cs="Arial"/>
        </w:rPr>
        <w:t xml:space="preserve">When it comes to the CSI feature itself, the use of it in legacy is to make sure the UE can be efficiently scheduled when the network wants to. Hence, if we want to avoid random access upon SCG activation due to lost beam relations or enable the network to efficiently schedule on the SCG upon SCG activation, it seems relevant to discuss ways to report CSI. One alternative is indeed to use the SCG, but the option of reporting via the MCG should not be discarded yet e.g. via L1 or MAC. </w:t>
      </w:r>
    </w:p>
    <w:p w14:paraId="54EBEDA4" w14:textId="5F9D2CCC" w:rsidR="00911565" w:rsidRDefault="00911565" w:rsidP="00BA427C">
      <w:pPr>
        <w:pStyle w:val="Proposal"/>
        <w:tabs>
          <w:tab w:val="clear" w:pos="1304"/>
          <w:tab w:val="num" w:pos="1701"/>
        </w:tabs>
      </w:pPr>
      <w:bookmarkStart w:id="33" w:name="_Toc61544839"/>
      <w:r>
        <w:t>Discuss the possibilities to support SCG CSI reporting while SCG is deactivated. FFS how reporting can be enabled e.g. via SCG or MCG.</w:t>
      </w:r>
      <w:bookmarkEnd w:id="33"/>
    </w:p>
    <w:p w14:paraId="79502754" w14:textId="1E348E3C" w:rsidR="00170EC9" w:rsidRDefault="006D0EBE" w:rsidP="00170EC9">
      <w:pPr>
        <w:pStyle w:val="Heading2"/>
      </w:pPr>
      <w:r>
        <w:t>2.</w:t>
      </w:r>
      <w:r w:rsidR="00E81349">
        <w:t>4</w:t>
      </w:r>
      <w:r>
        <w:tab/>
      </w:r>
      <w:r w:rsidR="00170EC9" w:rsidRPr="00170EC9">
        <w:t>Radio link monitoring</w:t>
      </w:r>
      <w:bookmarkEnd w:id="3"/>
    </w:p>
    <w:p w14:paraId="6A7FD059" w14:textId="5C973626" w:rsidR="008D3FA4" w:rsidRDefault="0018011E" w:rsidP="008D3FA4">
      <w:pPr>
        <w:pStyle w:val="BodyText"/>
      </w:pPr>
      <w:r>
        <w:t xml:space="preserve">A legacy UE operating in MR-DC performs both MCG RLM </w:t>
      </w:r>
      <w:r w:rsidR="008D3FA4">
        <w:t xml:space="preserve">(M-RLM) </w:t>
      </w:r>
      <w:r>
        <w:t>and SCG RLM</w:t>
      </w:r>
      <w:r w:rsidR="008D3FA4">
        <w:t xml:space="preserve"> (S-RLM)</w:t>
      </w:r>
      <w:r>
        <w:t xml:space="preserve">. If an S-RLF </w:t>
      </w:r>
      <w:r w:rsidR="008D3FA4">
        <w:t xml:space="preserve">(RLF triggered on the PSCell) </w:t>
      </w:r>
      <w:r>
        <w:t xml:space="preserve">is triggered while the MCG link is not suspended, the UE transmits an SCG failure </w:t>
      </w:r>
      <w:r w:rsidR="002E14C1">
        <w:t>information message</w:t>
      </w:r>
      <w:r>
        <w:t xml:space="preserve"> including available measurements. </w:t>
      </w:r>
    </w:p>
    <w:p w14:paraId="0D9D2849" w14:textId="18EF5982" w:rsidR="008D3FA4" w:rsidRDefault="0018011E" w:rsidP="008D3FA4">
      <w:pPr>
        <w:pStyle w:val="BodyText"/>
      </w:pPr>
      <w:r>
        <w:t xml:space="preserve">For the case the SCG is deactivated, </w:t>
      </w:r>
      <w:r w:rsidR="008D3FA4">
        <w:t>according to the email discussion for deactivated SCG</w:t>
      </w:r>
      <w:r w:rsidR="005B60C2">
        <w:t xml:space="preserve"> </w:t>
      </w:r>
      <w:r w:rsidR="005B60C2">
        <w:fldChar w:fldCharType="begin"/>
      </w:r>
      <w:r w:rsidR="005B60C2">
        <w:instrText xml:space="preserve"> REF _Ref53453896 \r \h </w:instrText>
      </w:r>
      <w:r w:rsidR="005B60C2">
        <w:fldChar w:fldCharType="separate"/>
      </w:r>
      <w:r w:rsidR="00785697">
        <w:t>[1]</w:t>
      </w:r>
      <w:r w:rsidR="005B60C2">
        <w:fldChar w:fldCharType="end"/>
      </w:r>
      <w:r w:rsidR="008D3FA4">
        <w:t xml:space="preserve">, 12 companies answered </w:t>
      </w:r>
      <w:r w:rsidR="00FF3FCA">
        <w:t>“</w:t>
      </w:r>
      <w:r w:rsidR="008D3FA4">
        <w:t>no</w:t>
      </w:r>
      <w:r w:rsidR="00FF3FCA">
        <w:t>”</w:t>
      </w:r>
      <w:r w:rsidR="008D3FA4">
        <w:t xml:space="preserve"> (i.e. </w:t>
      </w:r>
      <w:r w:rsidR="00753D8B">
        <w:t xml:space="preserve">they don’t want the UE to perform </w:t>
      </w:r>
      <w:r w:rsidR="008D3FA4">
        <w:t>S-RLM</w:t>
      </w:r>
      <w:r w:rsidR="00753D8B">
        <w:t xml:space="preserve"> while the SCG is deactivated</w:t>
      </w:r>
      <w:r w:rsidR="008D3FA4">
        <w:t>)</w:t>
      </w:r>
      <w:r w:rsidR="00753D8B">
        <w:t xml:space="preserve">, </w:t>
      </w:r>
      <w:r w:rsidR="008D3FA4">
        <w:t xml:space="preserve">5 companies answered </w:t>
      </w:r>
      <w:r w:rsidR="00FF3FCA">
        <w:t>“</w:t>
      </w:r>
      <w:r w:rsidR="008D3FA4">
        <w:t>yes</w:t>
      </w:r>
      <w:r w:rsidR="00FF3FCA">
        <w:t>”</w:t>
      </w:r>
      <w:r w:rsidR="008D3FA4">
        <w:t xml:space="preserve">, 5 companies answered </w:t>
      </w:r>
      <w:r w:rsidR="00FF3FCA">
        <w:t>“</w:t>
      </w:r>
      <w:r w:rsidR="008D3FA4">
        <w:t>maybe</w:t>
      </w:r>
      <w:r w:rsidR="00FF3FCA">
        <w:t>”</w:t>
      </w:r>
      <w:r w:rsidR="008D3FA4">
        <w:t xml:space="preserve"> and one company answered </w:t>
      </w:r>
      <w:r w:rsidR="00FF3FCA">
        <w:t>“</w:t>
      </w:r>
      <w:r w:rsidR="008D3FA4">
        <w:t>neutral</w:t>
      </w:r>
      <w:r w:rsidR="00FF3FCA">
        <w:t>”</w:t>
      </w:r>
      <w:r w:rsidR="00753D8B">
        <w:t xml:space="preserve">, and rapporteur has concluded that </w:t>
      </w:r>
      <w:r w:rsidR="008D3FA4">
        <w:t>more discussions are needed.</w:t>
      </w:r>
    </w:p>
    <w:p w14:paraId="289210D1" w14:textId="52AEB6AB" w:rsidR="00753D8B" w:rsidRDefault="00753D8B" w:rsidP="00E22723">
      <w:pPr>
        <w:pStyle w:val="BodyText"/>
      </w:pPr>
      <w:r>
        <w:t>Rapporteur has listed the following arguments from the different comments. For each of these, we provide our views:</w:t>
      </w:r>
    </w:p>
    <w:p w14:paraId="0731E16B" w14:textId="345EE08F" w:rsidR="008D3FA4" w:rsidRPr="00E22723" w:rsidRDefault="00FF3FCA" w:rsidP="002C7158">
      <w:pPr>
        <w:pStyle w:val="B1"/>
        <w:numPr>
          <w:ilvl w:val="0"/>
          <w:numId w:val="14"/>
        </w:numPr>
        <w:rPr>
          <w:b/>
          <w:bCs/>
        </w:rPr>
      </w:pPr>
      <w:r>
        <w:rPr>
          <w:b/>
          <w:bCs/>
        </w:rPr>
        <w:t>“</w:t>
      </w:r>
      <w:r w:rsidR="008D3FA4" w:rsidRPr="00E22723">
        <w:rPr>
          <w:b/>
          <w:bCs/>
        </w:rPr>
        <w:t>we already now have SCG failure behaviour defined it is worthwhile to consider would it be easier just to support RLM without impacts to specification</w:t>
      </w:r>
      <w:r>
        <w:rPr>
          <w:b/>
          <w:bCs/>
        </w:rPr>
        <w:t>”</w:t>
      </w:r>
    </w:p>
    <w:p w14:paraId="12B4CF71" w14:textId="1868377F" w:rsidR="00753D8B" w:rsidRPr="00E22723" w:rsidRDefault="006008D4" w:rsidP="00172714">
      <w:pPr>
        <w:pStyle w:val="B1"/>
        <w:ind w:left="567" w:firstLine="0"/>
        <w:rPr>
          <w:rFonts w:ascii="Arial" w:hAnsi="Arial" w:cs="Arial"/>
        </w:rPr>
      </w:pPr>
      <w:r w:rsidRPr="00172714">
        <w:rPr>
          <w:rFonts w:ascii="Arial" w:hAnsi="Arial" w:cs="Arial"/>
          <w:i/>
          <w:iCs/>
        </w:rPr>
        <w:t xml:space="preserve">Ericsson view: </w:t>
      </w:r>
      <w:r w:rsidR="00753D8B" w:rsidRPr="00172714">
        <w:rPr>
          <w:rFonts w:ascii="Arial" w:hAnsi="Arial" w:cs="Arial"/>
          <w:i/>
          <w:iCs/>
        </w:rPr>
        <w:t xml:space="preserve">that indeed simplifies the handling in the specifications i.e. there would </w:t>
      </w:r>
      <w:r w:rsidR="00AC16C3" w:rsidRPr="00172714">
        <w:rPr>
          <w:rFonts w:ascii="Arial" w:hAnsi="Arial" w:cs="Arial"/>
          <w:i/>
          <w:iCs/>
        </w:rPr>
        <w:t xml:space="preserve">be </w:t>
      </w:r>
      <w:r w:rsidR="00753D8B" w:rsidRPr="00172714">
        <w:rPr>
          <w:rFonts w:ascii="Arial" w:hAnsi="Arial" w:cs="Arial"/>
          <w:i/>
          <w:iCs/>
        </w:rPr>
        <w:t xml:space="preserve">no need to suspend RLM when </w:t>
      </w:r>
      <w:r w:rsidR="00E22723" w:rsidRPr="00172714">
        <w:rPr>
          <w:rFonts w:ascii="Arial" w:hAnsi="Arial" w:cs="Arial"/>
          <w:i/>
          <w:iCs/>
        </w:rPr>
        <w:t xml:space="preserve">the </w:t>
      </w:r>
      <w:r w:rsidR="00753D8B" w:rsidRPr="00172714">
        <w:rPr>
          <w:rFonts w:ascii="Arial" w:hAnsi="Arial" w:cs="Arial"/>
          <w:i/>
          <w:iCs/>
        </w:rPr>
        <w:t>SCG is deactivated</w:t>
      </w:r>
      <w:r w:rsidR="00E22723" w:rsidRPr="00172714">
        <w:rPr>
          <w:rFonts w:ascii="Arial" w:hAnsi="Arial" w:cs="Arial"/>
          <w:i/>
          <w:iCs/>
        </w:rPr>
        <w:t xml:space="preserve"> and/or no need to define a new handling of S-RLF. In addition to it, it might be a valid use case to indicate an SCG failure report to the network while the UE is in MR-DC, even for a deactivated SCG</w:t>
      </w:r>
      <w:r w:rsidR="00047F9E">
        <w:rPr>
          <w:rFonts w:ascii="Arial" w:hAnsi="Arial" w:cs="Arial"/>
          <w:i/>
          <w:iCs/>
        </w:rPr>
        <w:t>.</w:t>
      </w:r>
    </w:p>
    <w:p w14:paraId="1FA18D0E" w14:textId="17DDAE26" w:rsidR="008D3FA4" w:rsidRPr="00172714" w:rsidRDefault="00172714" w:rsidP="002C7158">
      <w:pPr>
        <w:pStyle w:val="B1"/>
        <w:numPr>
          <w:ilvl w:val="0"/>
          <w:numId w:val="14"/>
        </w:numPr>
        <w:rPr>
          <w:b/>
          <w:bCs/>
        </w:rPr>
      </w:pPr>
      <w:r>
        <w:rPr>
          <w:b/>
          <w:bCs/>
        </w:rPr>
        <w:t>“</w:t>
      </w:r>
      <w:r w:rsidRPr="001353D2">
        <w:rPr>
          <w:b/>
          <w:bCs/>
        </w:rPr>
        <w:t>UE power consumption needs to be considered as well but likely that is minimal as same resources can be used for RLM and RRM evaluations</w:t>
      </w:r>
      <w:r>
        <w:rPr>
          <w:b/>
          <w:bCs/>
        </w:rPr>
        <w:t>”</w:t>
      </w:r>
      <w:r w:rsidRPr="001353D2">
        <w:rPr>
          <w:b/>
          <w:bCs/>
        </w:rPr>
        <w:t>. Actually, RLF will be triggered even if there are other good beams of the same cell because RLM is performed on a limited number of beams. So isn</w:t>
      </w:r>
      <w:r>
        <w:rPr>
          <w:b/>
          <w:bCs/>
        </w:rPr>
        <w:t>’</w:t>
      </w:r>
      <w:r w:rsidRPr="001353D2">
        <w:rPr>
          <w:b/>
          <w:bCs/>
        </w:rPr>
        <w:t>t this also a kind of BFD?</w:t>
      </w:r>
      <w:r>
        <w:rPr>
          <w:b/>
          <w:bCs/>
        </w:rPr>
        <w:t>”</w:t>
      </w:r>
    </w:p>
    <w:p w14:paraId="1DED4E7F" w14:textId="4BE904C3" w:rsidR="006008D4" w:rsidRPr="00172714" w:rsidRDefault="006008D4" w:rsidP="00172714">
      <w:pPr>
        <w:pStyle w:val="B1"/>
        <w:ind w:left="567" w:firstLine="0"/>
        <w:rPr>
          <w:rFonts w:ascii="Arial" w:hAnsi="Arial" w:cs="Arial"/>
          <w:i/>
          <w:iCs/>
        </w:rPr>
      </w:pPr>
      <w:r w:rsidRPr="00172714">
        <w:rPr>
          <w:rFonts w:ascii="Arial" w:hAnsi="Arial" w:cs="Arial"/>
          <w:i/>
          <w:iCs/>
        </w:rPr>
        <w:t>Ericsson view: In our view there are ways to reduce power consumption due to S-RLM, such as considering relaxed requirements e.g. as in the case of autonomous gaps (up to RAN4). When it comes to the usage of same resources as RRM, that might be a possibility (though this would require further specification work).</w:t>
      </w:r>
      <w:r w:rsidR="00A65CF7">
        <w:rPr>
          <w:rFonts w:ascii="Arial" w:hAnsi="Arial" w:cs="Arial"/>
          <w:i/>
          <w:iCs/>
        </w:rPr>
        <w:t xml:space="preserve"> </w:t>
      </w:r>
      <w:r w:rsidRPr="00172714">
        <w:rPr>
          <w:rFonts w:ascii="Arial" w:hAnsi="Arial" w:cs="Arial"/>
          <w:i/>
          <w:iCs/>
        </w:rPr>
        <w:t>On the other hand, it is indeed true that currently RLM is performed in a limited number of beams (or based on TCI state configuration), that may need to be updated as the UE moves within the cell. In other words, S-RLM behaviour needs to be discussed once the beam management behaviour for the SCG is discussed. In our view, beam management and CSI is crucial to enable a fast SCG activation. And, if such a framework is in place, it might not be difficult to enable S-RLM.</w:t>
      </w:r>
    </w:p>
    <w:p w14:paraId="3B843FF0" w14:textId="04F84E68" w:rsidR="006008D4" w:rsidRPr="001353D2" w:rsidRDefault="008D3FA4" w:rsidP="001353D2">
      <w:pPr>
        <w:pStyle w:val="B1"/>
        <w:rPr>
          <w:b/>
          <w:bCs/>
        </w:rPr>
      </w:pPr>
      <w:r w:rsidRPr="001353D2">
        <w:rPr>
          <w:b/>
          <w:bCs/>
        </w:rPr>
        <w:t>3)</w:t>
      </w:r>
      <w:r w:rsidRPr="001353D2">
        <w:rPr>
          <w:b/>
          <w:bCs/>
        </w:rPr>
        <w:tab/>
      </w:r>
      <w:r w:rsidR="00FF3FCA">
        <w:rPr>
          <w:b/>
          <w:bCs/>
        </w:rPr>
        <w:t>“</w:t>
      </w:r>
      <w:r w:rsidRPr="001353D2">
        <w:rPr>
          <w:b/>
          <w:bCs/>
        </w:rPr>
        <w:t xml:space="preserve"> If this is not supported there is a risk that the network tries to activate an SCG that is not even within the coverage.</w:t>
      </w:r>
      <w:r w:rsidR="00FF3FCA">
        <w:rPr>
          <w:b/>
          <w:bCs/>
        </w:rPr>
        <w:t>”</w:t>
      </w:r>
      <w:r w:rsidRPr="001353D2">
        <w:rPr>
          <w:b/>
          <w:bCs/>
        </w:rPr>
        <w:t>. Probably A2 would detect that too.</w:t>
      </w:r>
    </w:p>
    <w:p w14:paraId="72F151FF" w14:textId="7AF59D58" w:rsidR="008D3FA4" w:rsidRPr="001353D2" w:rsidRDefault="008D3FA4" w:rsidP="008D3FA4">
      <w:pPr>
        <w:pStyle w:val="B1"/>
        <w:rPr>
          <w:b/>
          <w:bCs/>
        </w:rPr>
      </w:pPr>
      <w:r w:rsidRPr="001353D2">
        <w:rPr>
          <w:b/>
          <w:bCs/>
        </w:rPr>
        <w:t>4)</w:t>
      </w:r>
      <w:r w:rsidRPr="001353D2">
        <w:rPr>
          <w:b/>
          <w:bCs/>
        </w:rPr>
        <w:tab/>
      </w:r>
      <w:r w:rsidR="00FF3FCA">
        <w:rPr>
          <w:b/>
          <w:bCs/>
        </w:rPr>
        <w:t>“</w:t>
      </w:r>
      <w:r w:rsidRPr="001353D2">
        <w:rPr>
          <w:b/>
          <w:bCs/>
        </w:rPr>
        <w:t>network may not notice the PSCell becomes bad timely, thus network cannot take appropriate action timely</w:t>
      </w:r>
      <w:r w:rsidR="00FF3FCA">
        <w:rPr>
          <w:b/>
          <w:bCs/>
        </w:rPr>
        <w:t>”</w:t>
      </w:r>
    </w:p>
    <w:p w14:paraId="2EE387AB" w14:textId="39ED93A4" w:rsidR="008D3FA4" w:rsidRPr="001353D2" w:rsidRDefault="008D3FA4" w:rsidP="009C439C">
      <w:pPr>
        <w:pStyle w:val="B1"/>
        <w:ind w:hanging="1"/>
        <w:rPr>
          <w:b/>
          <w:bCs/>
        </w:rPr>
      </w:pPr>
      <w:r w:rsidRPr="001353D2">
        <w:rPr>
          <w:b/>
          <w:bCs/>
        </w:rPr>
        <w:t xml:space="preserve">Based on RAN4 specifications (see above), the period for detection that PDCCH BLER is above 10% is the same as the period for RRM measurements of the PSCell, so if </w:t>
      </w:r>
      <w:r w:rsidR="00FF3FCA">
        <w:rPr>
          <w:b/>
          <w:bCs/>
        </w:rPr>
        <w:t>“</w:t>
      </w:r>
      <w:r w:rsidRPr="001353D2">
        <w:rPr>
          <w:b/>
          <w:bCs/>
        </w:rPr>
        <w:t>PSCell becomes bad</w:t>
      </w:r>
      <w:r w:rsidR="00FF3FCA">
        <w:rPr>
          <w:b/>
          <w:bCs/>
        </w:rPr>
        <w:t>”</w:t>
      </w:r>
      <w:r w:rsidRPr="001353D2">
        <w:rPr>
          <w:b/>
          <w:bCs/>
        </w:rPr>
        <w:t xml:space="preserve"> is caused by </w:t>
      </w:r>
      <w:r w:rsidR="00FF3FCA">
        <w:rPr>
          <w:b/>
          <w:bCs/>
        </w:rPr>
        <w:t>“</w:t>
      </w:r>
      <w:r w:rsidRPr="001353D2">
        <w:rPr>
          <w:b/>
          <w:bCs/>
        </w:rPr>
        <w:t>the PSCell is too far</w:t>
      </w:r>
      <w:r w:rsidR="00FF3FCA">
        <w:rPr>
          <w:b/>
          <w:bCs/>
        </w:rPr>
        <w:t>”</w:t>
      </w:r>
      <w:r w:rsidRPr="001353D2">
        <w:rPr>
          <w:b/>
          <w:bCs/>
        </w:rPr>
        <w:t>, A2 could be triggered in the same timing provided the A2 threshold is set accurately. Of course, for RLM, the UE estimates PDCCH BLER above 10% while for A2 it is a network configured threshold, so there is some difference from that perspective.</w:t>
      </w:r>
    </w:p>
    <w:p w14:paraId="796B3A45" w14:textId="77777777" w:rsidR="001353D2" w:rsidRPr="009C439C" w:rsidRDefault="001353D2" w:rsidP="009C439C">
      <w:pPr>
        <w:pStyle w:val="B1"/>
        <w:ind w:left="567" w:firstLine="0"/>
        <w:rPr>
          <w:rFonts w:ascii="Arial" w:hAnsi="Arial" w:cs="Arial"/>
          <w:i/>
          <w:iCs/>
        </w:rPr>
      </w:pPr>
      <w:r w:rsidRPr="009C439C">
        <w:rPr>
          <w:rFonts w:ascii="Arial" w:hAnsi="Arial" w:cs="Arial"/>
          <w:i/>
          <w:iCs/>
        </w:rPr>
        <w:t>Ericsson view: In our view this risk exists, though we agree that if everything works fine an A2 would be triggered. However, as it is known, there may be failure cases related to event triggering measurement reporting (being the reason SCG failure reporting has been specified).</w:t>
      </w:r>
    </w:p>
    <w:p w14:paraId="4D9479E1" w14:textId="4524EAC2" w:rsidR="001353D2" w:rsidRPr="00085D1F" w:rsidRDefault="001353D2" w:rsidP="00085D1F">
      <w:pPr>
        <w:pStyle w:val="B1"/>
        <w:ind w:left="0" w:firstLine="0"/>
        <w:rPr>
          <w:rFonts w:ascii="Arial" w:hAnsi="Arial" w:cs="Arial"/>
        </w:rPr>
      </w:pPr>
      <w:r>
        <w:rPr>
          <w:rFonts w:ascii="Arial" w:hAnsi="Arial" w:cs="Arial"/>
        </w:rPr>
        <w:t>To summarize our view, we believe it is important that the UE continues to perform S-</w:t>
      </w:r>
      <w:r>
        <w:rPr>
          <w:rFonts w:ascii="Arial" w:hAnsi="Arial" w:cs="Arial"/>
        </w:rPr>
        <w:softHyphen/>
        <w:t>RLM while the SCG is deactivated.</w:t>
      </w:r>
      <w:r w:rsidR="00085D1F">
        <w:rPr>
          <w:rFonts w:ascii="Arial" w:hAnsi="Arial" w:cs="Arial"/>
        </w:rPr>
        <w:t xml:space="preserve"> Performing S-RLM can </w:t>
      </w:r>
      <w:r w:rsidR="005B60C2">
        <w:rPr>
          <w:rFonts w:ascii="Arial" w:hAnsi="Arial" w:cs="Arial"/>
        </w:rPr>
        <w:t>also</w:t>
      </w:r>
      <w:r w:rsidR="00085D1F">
        <w:rPr>
          <w:rFonts w:ascii="Arial" w:hAnsi="Arial" w:cs="Arial"/>
        </w:rPr>
        <w:t xml:space="preserve"> help UE to maintain DL synchronization, which will reduce the activation delay for the SCG, see section 2.</w:t>
      </w:r>
      <w:r w:rsidR="00D511BA">
        <w:rPr>
          <w:rFonts w:ascii="Arial" w:hAnsi="Arial" w:cs="Arial"/>
        </w:rPr>
        <w:t>1</w:t>
      </w:r>
      <w:r w:rsidR="00085D1F">
        <w:rPr>
          <w:rFonts w:ascii="Arial" w:hAnsi="Arial" w:cs="Arial"/>
        </w:rPr>
        <w:t xml:space="preserve">. Reduced SCG activation </w:t>
      </w:r>
      <w:r w:rsidR="002045A6">
        <w:rPr>
          <w:rFonts w:ascii="Arial" w:hAnsi="Arial" w:cs="Arial"/>
        </w:rPr>
        <w:t>time</w:t>
      </w:r>
      <w:r w:rsidR="00085D1F">
        <w:rPr>
          <w:rFonts w:ascii="Arial" w:hAnsi="Arial" w:cs="Arial"/>
        </w:rPr>
        <w:t xml:space="preserve"> is important to maximize MCG offloading, see simulation results in section 2.</w:t>
      </w:r>
      <w:r w:rsidR="00D511BA">
        <w:rPr>
          <w:rFonts w:ascii="Arial" w:hAnsi="Arial" w:cs="Arial"/>
        </w:rPr>
        <w:t>2</w:t>
      </w:r>
      <w:r w:rsidR="00085D1F">
        <w:rPr>
          <w:rFonts w:ascii="Arial" w:hAnsi="Arial" w:cs="Arial"/>
        </w:rPr>
        <w:t>.</w:t>
      </w:r>
      <w:r>
        <w:rPr>
          <w:rFonts w:ascii="Arial" w:hAnsi="Arial" w:cs="Arial"/>
        </w:rPr>
        <w:t xml:space="preserve"> We are sensitive to the issue related to power consumption, though there are ways to reduce power consumption due to S-RLM e.g. defining relaxed requirements. On the other</w:t>
      </w:r>
      <w:r w:rsidR="009240E3">
        <w:rPr>
          <w:rFonts w:ascii="Arial" w:hAnsi="Arial" w:cs="Arial"/>
        </w:rPr>
        <w:t xml:space="preserve"> hand</w:t>
      </w:r>
      <w:r>
        <w:rPr>
          <w:rFonts w:ascii="Arial" w:hAnsi="Arial" w:cs="Arial"/>
        </w:rPr>
        <w:t>, perhaps a more critical issue is the fact that S-RLM may need to change due to intra-cell mobility, as the UE has a limited number of resources monitored for RLM, and updates may require the reception of RRC messages and/or MAC C</w:t>
      </w:r>
      <w:r w:rsidR="00FF3FCA">
        <w:rPr>
          <w:rFonts w:ascii="Arial" w:hAnsi="Arial" w:cs="Arial"/>
        </w:rPr>
        <w:t>e</w:t>
      </w:r>
      <w:r>
        <w:rPr>
          <w:rFonts w:ascii="Arial" w:hAnsi="Arial" w:cs="Arial"/>
        </w:rPr>
        <w:t>s from the SCG (though UE does not monitor SCG PDCCH). Hence, RAN2 should discuss RLM when the implications of beam management and CSI reporting/measurements are settled for a deactivated SCG.</w:t>
      </w:r>
    </w:p>
    <w:p w14:paraId="368AF1DC" w14:textId="74484438" w:rsidR="001353D2" w:rsidRDefault="001353D2" w:rsidP="0035295F">
      <w:pPr>
        <w:pStyle w:val="Proposal"/>
        <w:tabs>
          <w:tab w:val="clear" w:pos="1304"/>
          <w:tab w:val="num" w:pos="1701"/>
        </w:tabs>
      </w:pPr>
      <w:bookmarkStart w:id="34" w:name="_Toc61544840"/>
      <w:r>
        <w:t xml:space="preserve">If SCG is deactivated, UE performs </w:t>
      </w:r>
      <w:r w:rsidR="000C733B">
        <w:t xml:space="preserve">some level of </w:t>
      </w:r>
      <w:r>
        <w:t>S-RLM</w:t>
      </w:r>
      <w:r w:rsidR="009C439C">
        <w:t xml:space="preserve"> and SCG failure information procedure is supported to report the failure</w:t>
      </w:r>
      <w:r>
        <w:t>. Exact behaviour to be discussed after beam management and CSI for deactivated SCG is defined.</w:t>
      </w:r>
      <w:bookmarkEnd w:id="34"/>
    </w:p>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DF921F6" w14:textId="77777777" w:rsidR="00F37795"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61544817" w:history="1">
        <w:r w:rsidR="00F37795" w:rsidRPr="00E14A00">
          <w:rPr>
            <w:rStyle w:val="Hyperlink"/>
            <w:noProof/>
          </w:rPr>
          <w:t>Observation 1</w:t>
        </w:r>
        <w:r w:rsidR="00F37795">
          <w:rPr>
            <w:rFonts w:asciiTheme="minorHAnsi" w:eastAsiaTheme="minorEastAsia" w:hAnsiTheme="minorHAnsi" w:cstheme="minorBidi"/>
            <w:b w:val="0"/>
            <w:noProof/>
            <w:sz w:val="22"/>
            <w:szCs w:val="22"/>
            <w:lang w:eastAsia="en-GB"/>
          </w:rPr>
          <w:tab/>
        </w:r>
        <w:r w:rsidR="00F37795" w:rsidRPr="00E14A00">
          <w:rPr>
            <w:rStyle w:val="Hyperlink"/>
            <w:noProof/>
            <w:lang w:val="en-US"/>
          </w:rPr>
          <w:t>The RRC and physical layer processing and the time required to establish downlink fine synchronization are the biggest delay components, especially for FR2 SCG activation, where long SMTC is desirable.</w:t>
        </w:r>
      </w:hyperlink>
    </w:p>
    <w:p w14:paraId="79989BA0"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18" w:history="1">
        <w:r w:rsidR="00F37795" w:rsidRPr="00E14A00">
          <w:rPr>
            <w:rStyle w:val="Hyperlink"/>
            <w:noProof/>
          </w:rPr>
          <w:t>Observation 2</w:t>
        </w:r>
        <w:r w:rsidR="00F37795">
          <w:rPr>
            <w:rFonts w:asciiTheme="minorHAnsi" w:eastAsiaTheme="minorEastAsia" w:hAnsiTheme="minorHAnsi" w:cstheme="minorBidi"/>
            <w:b w:val="0"/>
            <w:noProof/>
            <w:sz w:val="22"/>
            <w:szCs w:val="22"/>
            <w:lang w:eastAsia="en-GB"/>
          </w:rPr>
          <w:tab/>
        </w:r>
        <w:r w:rsidR="00F37795" w:rsidRPr="00E14A00">
          <w:rPr>
            <w:rStyle w:val="Hyperlink"/>
            <w:noProof/>
          </w:rPr>
          <w:t>SCG activation with random access is needed</w:t>
        </w:r>
        <w:r w:rsidR="00F37795" w:rsidRPr="00E14A00">
          <w:rPr>
            <w:rStyle w:val="Hyperlink"/>
            <w:noProof/>
            <w:lang w:val="fi-FI"/>
          </w:rPr>
          <w:t xml:space="preserve"> for the case where the UE has lost uplink synchronization for the deactivated SCG.</w:t>
        </w:r>
      </w:hyperlink>
    </w:p>
    <w:p w14:paraId="6E975158"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19" w:history="1">
        <w:r w:rsidR="00F37795" w:rsidRPr="00E14A00">
          <w:rPr>
            <w:rStyle w:val="Hyperlink"/>
            <w:noProof/>
          </w:rPr>
          <w:t>Observation 3</w:t>
        </w:r>
        <w:r w:rsidR="00F37795">
          <w:rPr>
            <w:rFonts w:asciiTheme="minorHAnsi" w:eastAsiaTheme="minorEastAsia" w:hAnsiTheme="minorHAnsi" w:cstheme="minorBidi"/>
            <w:b w:val="0"/>
            <w:noProof/>
            <w:sz w:val="22"/>
            <w:szCs w:val="22"/>
            <w:lang w:eastAsia="en-GB"/>
          </w:rPr>
          <w:tab/>
        </w:r>
        <w:r w:rsidR="00F37795" w:rsidRPr="00E14A00">
          <w:rPr>
            <w:rStyle w:val="Hyperlink"/>
            <w:noProof/>
          </w:rPr>
          <w:t xml:space="preserve">In addition to SCG activation with random access, </w:t>
        </w:r>
        <w:r w:rsidR="00F37795" w:rsidRPr="00E14A00">
          <w:rPr>
            <w:rStyle w:val="Hyperlink"/>
            <w:noProof/>
            <w:lang w:val="fi-FI"/>
          </w:rPr>
          <w:t>activation via Scheduling Request can provide lower latency for the case where UL synchronization and beam relations are maintained.</w:t>
        </w:r>
      </w:hyperlink>
    </w:p>
    <w:p w14:paraId="3E187F80"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20" w:history="1">
        <w:r w:rsidR="00F37795" w:rsidRPr="00E14A00">
          <w:rPr>
            <w:rStyle w:val="Hyperlink"/>
            <w:noProof/>
          </w:rPr>
          <w:t>Observation 4</w:t>
        </w:r>
        <w:r w:rsidR="00F37795">
          <w:rPr>
            <w:rFonts w:asciiTheme="minorHAnsi" w:eastAsiaTheme="minorEastAsia" w:hAnsiTheme="minorHAnsi" w:cstheme="minorBidi"/>
            <w:b w:val="0"/>
            <w:noProof/>
            <w:sz w:val="22"/>
            <w:szCs w:val="22"/>
            <w:lang w:eastAsia="en-GB"/>
          </w:rPr>
          <w:tab/>
        </w:r>
        <w:r w:rsidR="00F37795" w:rsidRPr="00E14A00">
          <w:rPr>
            <w:rStyle w:val="Hyperlink"/>
            <w:noProof/>
          </w:rPr>
          <w:t>Reducing processing times and maintaining DL timing information for deactivated SCG allows an 80% reduction in SCG activation delay.</w:t>
        </w:r>
      </w:hyperlink>
    </w:p>
    <w:p w14:paraId="4CE025F2"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21" w:history="1">
        <w:r w:rsidR="00F37795" w:rsidRPr="00E14A00">
          <w:rPr>
            <w:rStyle w:val="Hyperlink"/>
            <w:noProof/>
          </w:rPr>
          <w:t>Observation 5</w:t>
        </w:r>
        <w:r w:rsidR="00F37795">
          <w:rPr>
            <w:rFonts w:asciiTheme="minorHAnsi" w:eastAsiaTheme="minorEastAsia" w:hAnsiTheme="minorHAnsi" w:cstheme="minorBidi"/>
            <w:b w:val="0"/>
            <w:noProof/>
            <w:sz w:val="22"/>
            <w:szCs w:val="22"/>
            <w:lang w:eastAsia="en-GB"/>
          </w:rPr>
          <w:tab/>
        </w:r>
        <w:r w:rsidR="00F37795" w:rsidRPr="00E14A00">
          <w:rPr>
            <w:rStyle w:val="Hyperlink"/>
            <w:noProof/>
          </w:rPr>
          <w:t>Maintaining UL sync allows a further 50% reduction.</w:t>
        </w:r>
      </w:hyperlink>
    </w:p>
    <w:p w14:paraId="4E1C8397"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22" w:history="1">
        <w:r w:rsidR="00F37795" w:rsidRPr="00E14A00">
          <w:rPr>
            <w:rStyle w:val="Hyperlink"/>
            <w:noProof/>
          </w:rPr>
          <w:t>Observation 6</w:t>
        </w:r>
        <w:r w:rsidR="00F37795">
          <w:rPr>
            <w:rFonts w:asciiTheme="minorHAnsi" w:eastAsiaTheme="minorEastAsia" w:hAnsiTheme="minorHAnsi" w:cstheme="minorBidi"/>
            <w:b w:val="0"/>
            <w:noProof/>
            <w:sz w:val="22"/>
            <w:szCs w:val="22"/>
            <w:lang w:eastAsia="en-GB"/>
          </w:rPr>
          <w:tab/>
        </w:r>
        <w:r w:rsidR="00F37795" w:rsidRPr="00E14A00">
          <w:rPr>
            <w:rStyle w:val="Hyperlink"/>
            <w:noProof/>
          </w:rPr>
          <w:t>In the case random access is performed during activation, further delays exists due to beam refinement and link adaptation until efficient transmissions/receptions can be performed.</w:t>
        </w:r>
      </w:hyperlink>
    </w:p>
    <w:p w14:paraId="36F1070E"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23" w:history="1">
        <w:r w:rsidR="00F37795" w:rsidRPr="00E14A00">
          <w:rPr>
            <w:rStyle w:val="Hyperlink"/>
            <w:noProof/>
          </w:rPr>
          <w:t>Observation 7</w:t>
        </w:r>
        <w:r w:rsidR="00F37795">
          <w:rPr>
            <w:rFonts w:asciiTheme="minorHAnsi" w:eastAsiaTheme="minorEastAsia" w:hAnsiTheme="minorHAnsi" w:cstheme="minorBidi"/>
            <w:b w:val="0"/>
            <w:noProof/>
            <w:sz w:val="22"/>
            <w:szCs w:val="22"/>
            <w:lang w:eastAsia="en-GB"/>
          </w:rPr>
          <w:tab/>
        </w:r>
        <w:r w:rsidR="00F37795" w:rsidRPr="00E14A00">
          <w:rPr>
            <w:rStyle w:val="Hyperlink"/>
            <w:noProof/>
          </w:rPr>
          <w:t>Reducing processing times and maintaining DL timing information for deactivated SCG allows a 40% reduction in MCG subband utilization.</w:t>
        </w:r>
      </w:hyperlink>
    </w:p>
    <w:p w14:paraId="57A87DB3"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24" w:history="1">
        <w:r w:rsidR="00F37795" w:rsidRPr="00E14A00">
          <w:rPr>
            <w:rStyle w:val="Hyperlink"/>
            <w:noProof/>
          </w:rPr>
          <w:t>Observation 8</w:t>
        </w:r>
        <w:r w:rsidR="00F37795">
          <w:rPr>
            <w:rFonts w:asciiTheme="minorHAnsi" w:eastAsiaTheme="minorEastAsia" w:hAnsiTheme="minorHAnsi" w:cstheme="minorBidi"/>
            <w:b w:val="0"/>
            <w:noProof/>
            <w:sz w:val="22"/>
            <w:szCs w:val="22"/>
            <w:lang w:eastAsia="en-GB"/>
          </w:rPr>
          <w:tab/>
        </w:r>
        <w:r w:rsidR="00F37795" w:rsidRPr="00E14A00">
          <w:rPr>
            <w:rStyle w:val="Hyperlink"/>
            <w:noProof/>
          </w:rPr>
          <w:t>Maintaining UL sync allows a further 20% reduction in MCG subband utilization.</w:t>
        </w:r>
      </w:hyperlink>
    </w:p>
    <w:p w14:paraId="75EB1F28"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25" w:history="1">
        <w:r w:rsidR="00F37795" w:rsidRPr="00E14A00">
          <w:rPr>
            <w:rStyle w:val="Hyperlink"/>
            <w:noProof/>
          </w:rPr>
          <w:t>Observation 9</w:t>
        </w:r>
        <w:r w:rsidR="00F37795">
          <w:rPr>
            <w:rFonts w:asciiTheme="minorHAnsi" w:eastAsiaTheme="minorEastAsia" w:hAnsiTheme="minorHAnsi" w:cstheme="minorBidi"/>
            <w:b w:val="0"/>
            <w:noProof/>
            <w:sz w:val="22"/>
            <w:szCs w:val="22"/>
            <w:lang w:eastAsia="en-GB"/>
          </w:rPr>
          <w:tab/>
        </w:r>
        <w:r w:rsidR="00F37795" w:rsidRPr="00E14A00">
          <w:rPr>
            <w:rStyle w:val="Hyperlink"/>
            <w:noProof/>
          </w:rPr>
          <w:t>If the TA timer is still running upon SCG activation, the UE assumes it is UL synchronized, which enables the UE to access the PSCell without the need of random access.</w:t>
        </w:r>
      </w:hyperlink>
    </w:p>
    <w:p w14:paraId="58172748"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26" w:history="1">
        <w:r w:rsidR="00F37795" w:rsidRPr="00E14A00">
          <w:rPr>
            <w:rStyle w:val="Hyperlink"/>
            <w:noProof/>
          </w:rPr>
          <w:t>Observation 10</w:t>
        </w:r>
        <w:r w:rsidR="00F37795">
          <w:rPr>
            <w:rFonts w:asciiTheme="minorHAnsi" w:eastAsiaTheme="minorEastAsia" w:hAnsiTheme="minorHAnsi" w:cstheme="minorBidi"/>
            <w:b w:val="0"/>
            <w:noProof/>
            <w:sz w:val="22"/>
            <w:szCs w:val="22"/>
            <w:lang w:eastAsia="en-GB"/>
          </w:rPr>
          <w:tab/>
        </w:r>
        <w:r w:rsidR="00F37795" w:rsidRPr="00E14A00">
          <w:rPr>
            <w:rStyle w:val="Hyperlink"/>
            <w:noProof/>
          </w:rPr>
          <w:t>If none of BFD, beam management, CSI are supported, UE always requires random access upon SCG activation which increases the activation delay.</w:t>
        </w:r>
      </w:hyperlink>
    </w:p>
    <w:p w14:paraId="404323BD" w14:textId="0B4AE8C6"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D300793" w14:textId="77777777" w:rsidR="00F37795"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44827" w:history="1">
        <w:r w:rsidR="00F37795" w:rsidRPr="00122131">
          <w:rPr>
            <w:rStyle w:val="Hyperlink"/>
            <w:noProof/>
          </w:rPr>
          <w:t>Proposal 1</w:t>
        </w:r>
        <w:r w:rsidR="00F37795">
          <w:rPr>
            <w:rFonts w:asciiTheme="minorHAnsi" w:eastAsiaTheme="minorEastAsia" w:hAnsiTheme="minorHAnsi" w:cstheme="minorBidi"/>
            <w:b w:val="0"/>
            <w:noProof/>
            <w:sz w:val="22"/>
            <w:szCs w:val="22"/>
            <w:lang w:eastAsia="en-GB"/>
          </w:rPr>
          <w:tab/>
        </w:r>
        <w:r w:rsidR="00F37795" w:rsidRPr="00122131">
          <w:rPr>
            <w:rStyle w:val="Hyperlink"/>
            <w:noProof/>
          </w:rPr>
          <w:t>The UE maintains DL sync while the SCG is deactivated (e.g. including SFN timing and SSB selection) such that the UE is ready to transmit in next PRACH or SR occasion having processed the SCG activation command.</w:t>
        </w:r>
      </w:hyperlink>
    </w:p>
    <w:p w14:paraId="269F57DD"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28" w:history="1">
        <w:r w:rsidR="00F37795" w:rsidRPr="00122131">
          <w:rPr>
            <w:rStyle w:val="Hyperlink"/>
            <w:noProof/>
          </w:rPr>
          <w:t>Proposal 2</w:t>
        </w:r>
        <w:r w:rsidR="00F37795">
          <w:rPr>
            <w:rFonts w:asciiTheme="minorHAnsi" w:eastAsiaTheme="minorEastAsia" w:hAnsiTheme="minorHAnsi" w:cstheme="minorBidi"/>
            <w:b w:val="0"/>
            <w:noProof/>
            <w:sz w:val="22"/>
            <w:szCs w:val="22"/>
            <w:lang w:eastAsia="en-GB"/>
          </w:rPr>
          <w:tab/>
        </w:r>
        <w:r w:rsidR="00F37795" w:rsidRPr="00122131">
          <w:rPr>
            <w:rStyle w:val="Hyperlink"/>
            <w:noProof/>
          </w:rPr>
          <w:t>Define a reduced processing time for RRC reconfiguration for activating SCG with limited changes to the SCG configuration.</w:t>
        </w:r>
      </w:hyperlink>
    </w:p>
    <w:p w14:paraId="49FA7B5F"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29" w:history="1">
        <w:r w:rsidR="00F37795" w:rsidRPr="00122131">
          <w:rPr>
            <w:rStyle w:val="Hyperlink"/>
            <w:noProof/>
          </w:rPr>
          <w:t>Proposal 3</w:t>
        </w:r>
        <w:r w:rsidR="00F37795">
          <w:rPr>
            <w:rFonts w:asciiTheme="minorHAnsi" w:eastAsiaTheme="minorEastAsia" w:hAnsiTheme="minorHAnsi" w:cstheme="minorBidi"/>
            <w:b w:val="0"/>
            <w:noProof/>
            <w:sz w:val="22"/>
            <w:szCs w:val="22"/>
            <w:lang w:eastAsia="en-GB"/>
          </w:rPr>
          <w:tab/>
        </w:r>
        <w:r w:rsidR="00F37795" w:rsidRPr="00122131">
          <w:rPr>
            <w:rStyle w:val="Hyperlink"/>
            <w:noProof/>
          </w:rPr>
          <w:t xml:space="preserve">Send LS to RAN4 to confirm whether </w:t>
        </w:r>
        <w:r w:rsidR="00F37795" w:rsidRPr="00122131">
          <w:rPr>
            <w:rStyle w:val="Hyperlink"/>
            <w:noProof/>
            <w:lang w:val="en-US"/>
          </w:rPr>
          <w:t>T</w:t>
        </w:r>
        <w:r w:rsidR="00F37795" w:rsidRPr="00122131">
          <w:rPr>
            <w:rStyle w:val="Hyperlink"/>
            <w:noProof/>
            <w:vertAlign w:val="subscript"/>
            <w:lang w:val="en-US"/>
          </w:rPr>
          <w:t>processing</w:t>
        </w:r>
        <w:r w:rsidR="00F37795" w:rsidRPr="00122131">
          <w:rPr>
            <w:rStyle w:val="Hyperlink"/>
            <w:noProof/>
          </w:rPr>
          <w:t xml:space="preserve"> = 0ms could be assumed for SCG activation, without cell or frequency change.</w:t>
        </w:r>
      </w:hyperlink>
    </w:p>
    <w:p w14:paraId="295BCD4B"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30" w:history="1">
        <w:r w:rsidR="00F37795" w:rsidRPr="00122131">
          <w:rPr>
            <w:rStyle w:val="Hyperlink"/>
            <w:noProof/>
          </w:rPr>
          <w:t>Proposal 4</w:t>
        </w:r>
        <w:r w:rsidR="00F37795">
          <w:rPr>
            <w:rFonts w:asciiTheme="minorHAnsi" w:eastAsiaTheme="minorEastAsia" w:hAnsiTheme="minorHAnsi" w:cstheme="minorBidi"/>
            <w:b w:val="0"/>
            <w:noProof/>
            <w:sz w:val="22"/>
            <w:szCs w:val="22"/>
            <w:lang w:eastAsia="en-GB"/>
          </w:rPr>
          <w:tab/>
        </w:r>
        <w:r w:rsidR="00F37795" w:rsidRPr="00122131">
          <w:rPr>
            <w:rStyle w:val="Hyperlink"/>
            <w:noProof/>
          </w:rPr>
          <w:t>Random access on PSCell is not always needed when SCG is to be activated.</w:t>
        </w:r>
      </w:hyperlink>
    </w:p>
    <w:p w14:paraId="41DF91A9"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31" w:history="1">
        <w:r w:rsidR="00F37795" w:rsidRPr="00122131">
          <w:rPr>
            <w:rStyle w:val="Hyperlink"/>
            <w:noProof/>
          </w:rPr>
          <w:t>Proposal 5</w:t>
        </w:r>
        <w:r w:rsidR="00F37795">
          <w:rPr>
            <w:rFonts w:asciiTheme="minorHAnsi" w:eastAsiaTheme="minorEastAsia" w:hAnsiTheme="minorHAnsi" w:cstheme="minorBidi"/>
            <w:b w:val="0"/>
            <w:noProof/>
            <w:sz w:val="22"/>
            <w:szCs w:val="22"/>
            <w:lang w:eastAsia="en-GB"/>
          </w:rPr>
          <w:tab/>
        </w:r>
        <w:r w:rsidR="00F37795" w:rsidRPr="00122131">
          <w:rPr>
            <w:rStyle w:val="Hyperlink"/>
            <w:noProof/>
          </w:rPr>
          <w:t>When the SCG is deactivated the TA timer is not stopped.</w:t>
        </w:r>
      </w:hyperlink>
    </w:p>
    <w:p w14:paraId="38E3CAF3"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32" w:history="1">
        <w:r w:rsidR="00F37795" w:rsidRPr="00122131">
          <w:rPr>
            <w:rStyle w:val="Hyperlink"/>
            <w:noProof/>
          </w:rPr>
          <w:t>Proposal 6</w:t>
        </w:r>
        <w:r w:rsidR="00F37795">
          <w:rPr>
            <w:rFonts w:asciiTheme="minorHAnsi" w:eastAsiaTheme="minorEastAsia" w:hAnsiTheme="minorHAnsi" w:cstheme="minorBidi"/>
            <w:b w:val="0"/>
            <w:noProof/>
            <w:sz w:val="22"/>
            <w:szCs w:val="22"/>
            <w:lang w:eastAsia="en-GB"/>
          </w:rPr>
          <w:tab/>
        </w:r>
        <w:r w:rsidR="00F37795" w:rsidRPr="00122131">
          <w:rPr>
            <w:rStyle w:val="Hyperlink"/>
            <w:noProof/>
          </w:rPr>
          <w:t>If TA timer has expired upon SCG activation, the UE performs random access in the PSCell.</w:t>
        </w:r>
      </w:hyperlink>
    </w:p>
    <w:p w14:paraId="15ED9BDB"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33" w:history="1">
        <w:r w:rsidR="00F37795" w:rsidRPr="00122131">
          <w:rPr>
            <w:rStyle w:val="Hyperlink"/>
            <w:noProof/>
          </w:rPr>
          <w:t>Proposal 7</w:t>
        </w:r>
        <w:r w:rsidR="00F37795">
          <w:rPr>
            <w:rFonts w:asciiTheme="minorHAnsi" w:eastAsiaTheme="minorEastAsia" w:hAnsiTheme="minorHAnsi" w:cstheme="minorBidi"/>
            <w:b w:val="0"/>
            <w:noProof/>
            <w:sz w:val="22"/>
            <w:szCs w:val="22"/>
            <w:lang w:eastAsia="en-GB"/>
          </w:rPr>
          <w:tab/>
        </w:r>
        <w:r w:rsidR="00F37795" w:rsidRPr="00122131">
          <w:rPr>
            <w:rStyle w:val="Hyperlink"/>
            <w:noProof/>
          </w:rPr>
          <w:t>The UE performs BFD monitoring for deactivated SCG. FFS Discuss actions upon BFD while SCG is deactivated.</w:t>
        </w:r>
      </w:hyperlink>
    </w:p>
    <w:p w14:paraId="5780D049"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34" w:history="1">
        <w:r w:rsidR="00F37795" w:rsidRPr="00122131">
          <w:rPr>
            <w:rStyle w:val="Hyperlink"/>
            <w:noProof/>
          </w:rPr>
          <w:t>Proposal 8</w:t>
        </w:r>
        <w:r w:rsidR="00F37795">
          <w:rPr>
            <w:rFonts w:asciiTheme="minorHAnsi" w:eastAsiaTheme="minorEastAsia" w:hAnsiTheme="minorHAnsi" w:cstheme="minorBidi"/>
            <w:b w:val="0"/>
            <w:noProof/>
            <w:sz w:val="22"/>
            <w:szCs w:val="22"/>
            <w:lang w:eastAsia="en-GB"/>
          </w:rPr>
          <w:tab/>
        </w:r>
        <w:r w:rsidR="00F37795" w:rsidRPr="00122131">
          <w:rPr>
            <w:rStyle w:val="Hyperlink"/>
            <w:rFonts w:cs="Arial"/>
            <w:noProof/>
          </w:rPr>
          <w:t>When the SCG is to be activated, if TA timer is still running and BFD was not declared, the UE activates the PSCell without random access.</w:t>
        </w:r>
      </w:hyperlink>
    </w:p>
    <w:p w14:paraId="03C37569"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35" w:history="1">
        <w:r w:rsidR="00F37795" w:rsidRPr="00122131">
          <w:rPr>
            <w:rStyle w:val="Hyperlink"/>
            <w:noProof/>
          </w:rPr>
          <w:t>Proposal 9</w:t>
        </w:r>
        <w:r w:rsidR="00F37795">
          <w:rPr>
            <w:rFonts w:asciiTheme="minorHAnsi" w:eastAsiaTheme="minorEastAsia" w:hAnsiTheme="minorHAnsi" w:cstheme="minorBidi"/>
            <w:b w:val="0"/>
            <w:noProof/>
            <w:sz w:val="22"/>
            <w:szCs w:val="22"/>
            <w:lang w:eastAsia="en-GB"/>
          </w:rPr>
          <w:tab/>
        </w:r>
        <w:r w:rsidR="00F37795" w:rsidRPr="00122131">
          <w:rPr>
            <w:rStyle w:val="Hyperlink"/>
            <w:rFonts w:cs="Arial"/>
            <w:noProof/>
          </w:rPr>
          <w:t>If BFD is declared while SCG is deactivated, FFS whether the UE:</w:t>
        </w:r>
      </w:hyperlink>
    </w:p>
    <w:p w14:paraId="7C7BFE67"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36" w:history="1">
        <w:r w:rsidR="00F37795" w:rsidRPr="00122131">
          <w:rPr>
            <w:rStyle w:val="Hyperlink"/>
            <w:noProof/>
          </w:rPr>
          <w:t>a.</w:t>
        </w:r>
        <w:r w:rsidR="00F37795">
          <w:rPr>
            <w:rFonts w:asciiTheme="minorHAnsi" w:eastAsiaTheme="minorEastAsia" w:hAnsiTheme="minorHAnsi" w:cstheme="minorBidi"/>
            <w:b w:val="0"/>
            <w:noProof/>
            <w:sz w:val="22"/>
            <w:szCs w:val="22"/>
            <w:lang w:eastAsia="en-GB"/>
          </w:rPr>
          <w:tab/>
        </w:r>
        <w:r w:rsidR="00F37795" w:rsidRPr="00122131">
          <w:rPr>
            <w:rStyle w:val="Hyperlink"/>
            <w:rFonts w:cs="Arial"/>
            <w:noProof/>
          </w:rPr>
          <w:t>performs BFR on PSCell;</w:t>
        </w:r>
      </w:hyperlink>
    </w:p>
    <w:p w14:paraId="3BDBBDA3"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37" w:history="1">
        <w:r w:rsidR="00F37795" w:rsidRPr="00122131">
          <w:rPr>
            <w:rStyle w:val="Hyperlink"/>
            <w:noProof/>
            <w:lang w:val="sv-SE"/>
          </w:rPr>
          <w:t>b.</w:t>
        </w:r>
        <w:r w:rsidR="00F37795">
          <w:rPr>
            <w:rFonts w:asciiTheme="minorHAnsi" w:eastAsiaTheme="minorEastAsia" w:hAnsiTheme="minorHAnsi" w:cstheme="minorBidi"/>
            <w:b w:val="0"/>
            <w:noProof/>
            <w:sz w:val="22"/>
            <w:szCs w:val="22"/>
            <w:lang w:eastAsia="en-GB"/>
          </w:rPr>
          <w:tab/>
        </w:r>
        <w:r w:rsidR="00F37795" w:rsidRPr="00122131">
          <w:rPr>
            <w:rStyle w:val="Hyperlink"/>
            <w:rFonts w:cs="Arial"/>
            <w:noProof/>
            <w:lang w:val="sv-SE"/>
          </w:rPr>
          <w:t>reports BFR via MCG;</w:t>
        </w:r>
      </w:hyperlink>
    </w:p>
    <w:p w14:paraId="7806F8BE"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38" w:history="1">
        <w:r w:rsidR="00F37795" w:rsidRPr="00122131">
          <w:rPr>
            <w:rStyle w:val="Hyperlink"/>
            <w:noProof/>
            <w:lang w:val="en-US"/>
          </w:rPr>
          <w:t>c.</w:t>
        </w:r>
        <w:r w:rsidR="00F37795">
          <w:rPr>
            <w:rFonts w:asciiTheme="minorHAnsi" w:eastAsiaTheme="minorEastAsia" w:hAnsiTheme="minorHAnsi" w:cstheme="minorBidi"/>
            <w:b w:val="0"/>
            <w:noProof/>
            <w:sz w:val="22"/>
            <w:szCs w:val="22"/>
            <w:lang w:eastAsia="en-GB"/>
          </w:rPr>
          <w:tab/>
        </w:r>
        <w:r w:rsidR="00F37795" w:rsidRPr="00122131">
          <w:rPr>
            <w:rStyle w:val="Hyperlink"/>
            <w:rFonts w:cs="Arial"/>
            <w:noProof/>
            <w:lang w:val="en-US"/>
          </w:rPr>
          <w:t>waits until it needs to activate SCG and perform random access.</w:t>
        </w:r>
      </w:hyperlink>
    </w:p>
    <w:p w14:paraId="3E818BC2"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39" w:history="1">
        <w:r w:rsidR="00F37795" w:rsidRPr="00122131">
          <w:rPr>
            <w:rStyle w:val="Hyperlink"/>
            <w:noProof/>
          </w:rPr>
          <w:t>Proposal 10</w:t>
        </w:r>
        <w:r w:rsidR="00F37795">
          <w:rPr>
            <w:rFonts w:asciiTheme="minorHAnsi" w:eastAsiaTheme="minorEastAsia" w:hAnsiTheme="minorHAnsi" w:cstheme="minorBidi"/>
            <w:b w:val="0"/>
            <w:noProof/>
            <w:sz w:val="22"/>
            <w:szCs w:val="22"/>
            <w:lang w:eastAsia="en-GB"/>
          </w:rPr>
          <w:tab/>
        </w:r>
        <w:r w:rsidR="00F37795" w:rsidRPr="00122131">
          <w:rPr>
            <w:rStyle w:val="Hyperlink"/>
            <w:noProof/>
          </w:rPr>
          <w:t>Discuss the possibilities to support SCG CSI reporting while SCG is deactivated. FFS how reporting can be enabled e.g. via SCG or MCG.</w:t>
        </w:r>
      </w:hyperlink>
    </w:p>
    <w:p w14:paraId="0ADB5956" w14:textId="77777777" w:rsidR="00F37795" w:rsidRDefault="00A21D3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4840" w:history="1">
        <w:r w:rsidR="00F37795" w:rsidRPr="00122131">
          <w:rPr>
            <w:rStyle w:val="Hyperlink"/>
            <w:noProof/>
          </w:rPr>
          <w:t>Proposal 11</w:t>
        </w:r>
        <w:r w:rsidR="00F37795">
          <w:rPr>
            <w:rFonts w:asciiTheme="minorHAnsi" w:eastAsiaTheme="minorEastAsia" w:hAnsiTheme="minorHAnsi" w:cstheme="minorBidi"/>
            <w:b w:val="0"/>
            <w:noProof/>
            <w:sz w:val="22"/>
            <w:szCs w:val="22"/>
            <w:lang w:eastAsia="en-GB"/>
          </w:rPr>
          <w:tab/>
        </w:r>
        <w:r w:rsidR="00F37795" w:rsidRPr="00122131">
          <w:rPr>
            <w:rStyle w:val="Hyperlink"/>
            <w:noProof/>
          </w:rPr>
          <w:t>If SCG is deactivated, UE performs some level of S-RLM and SCG failure information procedure is supported to report the failure. Exact behaviour to be discussed after beam management and CSI for deactivated SCG is defined.</w:t>
        </w:r>
      </w:hyperlink>
    </w:p>
    <w:p w14:paraId="38AEB139" w14:textId="0779EAE9" w:rsidR="006E1C82" w:rsidRPr="00F37795" w:rsidRDefault="006E1C82" w:rsidP="00F37795">
      <w:pPr>
        <w:pStyle w:val="BodyText"/>
        <w:spacing w:after="0"/>
        <w:rPr>
          <w:b/>
          <w:bCs/>
          <w:sz w:val="4"/>
          <w:szCs w:val="4"/>
        </w:rPr>
      </w:pPr>
      <w:r>
        <w:rPr>
          <w:b/>
          <w:bCs/>
          <w:lang w:val="en-US"/>
        </w:rPr>
        <w:fldChar w:fldCharType="end"/>
      </w:r>
      <w:bookmarkStart w:id="35" w:name="_In-sequence_SDU_delivery"/>
      <w:bookmarkEnd w:id="35"/>
    </w:p>
    <w:p w14:paraId="409E695F" w14:textId="77777777" w:rsidR="00F507D1" w:rsidRPr="00CE0424" w:rsidRDefault="00F507D1" w:rsidP="00CE0424">
      <w:pPr>
        <w:pStyle w:val="Heading1"/>
      </w:pPr>
      <w:r w:rsidRPr="00CE0424">
        <w:t>References</w:t>
      </w:r>
    </w:p>
    <w:bookmarkStart w:id="36" w:name="_Ref53453896"/>
    <w:bookmarkStart w:id="37" w:name="_Ref174151459"/>
    <w:bookmarkStart w:id="38" w:name="_Ref189809556"/>
    <w:p w14:paraId="183D39A0" w14:textId="2F23D541" w:rsidR="005F3025" w:rsidRPr="00CE0424" w:rsidRDefault="00655746" w:rsidP="00311702">
      <w:pPr>
        <w:pStyle w:val="Reference"/>
      </w:pPr>
      <w:r>
        <w:fldChar w:fldCharType="begin"/>
      </w:r>
      <w:r>
        <w:instrText xml:space="preserve"> HYPERLINK "http://www.3gpp.org/ftp/tsg_ran/WG2_RL2//TSGR2_112-e/Docs//R2-2010123.zip" </w:instrText>
      </w:r>
      <w:r>
        <w:fldChar w:fldCharType="separate"/>
      </w:r>
      <w:r w:rsidR="00F756B5" w:rsidRPr="00655746">
        <w:rPr>
          <w:rStyle w:val="Hyperlink"/>
        </w:rPr>
        <w:t>R2-20</w:t>
      </w:r>
      <w:r w:rsidRPr="00655746">
        <w:rPr>
          <w:rStyle w:val="Hyperlink"/>
        </w:rPr>
        <w:t>10123</w:t>
      </w:r>
      <w:r>
        <w:fldChar w:fldCharType="end"/>
      </w:r>
      <w:r w:rsidR="00F756B5">
        <w:t>, [</w:t>
      </w:r>
      <w:r w:rsidR="00F30700">
        <w:t>Post</w:t>
      </w:r>
      <w:r w:rsidR="00F756B5">
        <w:t>111</w:t>
      </w:r>
      <w:r w:rsidR="00F30700">
        <w:t>-</w:t>
      </w:r>
      <w:r w:rsidR="00F756B5">
        <w:t>e][919]</w:t>
      </w:r>
      <w:r w:rsidR="00F30700">
        <w:t>[eDDCA] Efficient (de)activation of SCG summary</w:t>
      </w:r>
      <w:r w:rsidR="00F756B5">
        <w:t>, Huawei</w:t>
      </w:r>
      <w:bookmarkEnd w:id="36"/>
    </w:p>
    <w:p w14:paraId="7FD866DE" w14:textId="49E1C1B0" w:rsidR="005F3025" w:rsidRDefault="00C4235B" w:rsidP="004E66CB">
      <w:pPr>
        <w:pStyle w:val="Reference"/>
      </w:pPr>
      <w:bookmarkStart w:id="39" w:name="_Ref54166707"/>
      <w:r>
        <w:t>3GPP TS 38.133</w:t>
      </w:r>
      <w:bookmarkEnd w:id="39"/>
      <w:r w:rsidR="00CF4AC3">
        <w:t xml:space="preserve">, </w:t>
      </w:r>
      <w:r w:rsidR="004E66CB">
        <w:t>Requirements for support of radio resource management (Release 16)</w:t>
      </w:r>
    </w:p>
    <w:p w14:paraId="2FCF7C43" w14:textId="33247863" w:rsidR="00CF4AC3" w:rsidRDefault="00CF4AC3" w:rsidP="00311702">
      <w:pPr>
        <w:pStyle w:val="Reference"/>
      </w:pPr>
      <w:r>
        <w:t>3GPP TS 38.213, Physical layer procedures for control (Release 16)</w:t>
      </w:r>
      <w:bookmarkEnd w:id="37"/>
      <w:bookmarkEnd w:id="38"/>
    </w:p>
    <w:bookmarkStart w:id="40" w:name="_Ref60760093"/>
    <w:p w14:paraId="0E13AAC1" w14:textId="0F60C1B8" w:rsidR="00B809B5" w:rsidRDefault="00655746" w:rsidP="00311702">
      <w:pPr>
        <w:pStyle w:val="Reference"/>
      </w:pPr>
      <w:r>
        <w:fldChar w:fldCharType="begin"/>
      </w:r>
      <w:r>
        <w:instrText xml:space="preserve"> HYPERLINK "http://www.3gpp.org/ftp/tsg_ran/WG2_RL2//TSGR2_112-e/Docs//R2-2010062.zip" </w:instrText>
      </w:r>
      <w:r>
        <w:fldChar w:fldCharType="separate"/>
      </w:r>
      <w:r w:rsidR="00B809B5" w:rsidRPr="00655746">
        <w:rPr>
          <w:rStyle w:val="Hyperlink"/>
        </w:rPr>
        <w:t>R2-2010062</w:t>
      </w:r>
      <w:r>
        <w:fldChar w:fldCharType="end"/>
      </w:r>
      <w:r w:rsidR="00B809B5">
        <w:t>, “Efficient SCG (de)activation”, Ericsson</w:t>
      </w:r>
      <w:bookmarkEnd w:id="40"/>
    </w:p>
    <w:p w14:paraId="1484C844" w14:textId="77777777" w:rsidR="0093498D" w:rsidRDefault="0093498D" w:rsidP="0093498D">
      <w:pPr>
        <w:pStyle w:val="Heading1"/>
      </w:pPr>
      <w:r>
        <w:t>Annex A: Draft LS to RAN4 of T</w:t>
      </w:r>
      <w:r w:rsidRPr="00FF3FCA">
        <w:rPr>
          <w:vertAlign w:val="subscript"/>
        </w:rPr>
        <w:t>processing</w:t>
      </w:r>
      <w:r>
        <w:t xml:space="preserve"> for SCG activation</w:t>
      </w:r>
    </w:p>
    <w:p w14:paraId="45038510" w14:textId="77777777" w:rsidR="0093498D" w:rsidRDefault="0093498D" w:rsidP="0093498D"/>
    <w:p w14:paraId="33147EAB" w14:textId="089FC6B9" w:rsidR="0093498D" w:rsidRDefault="0093498D" w:rsidP="0093498D">
      <w:pPr>
        <w:pStyle w:val="3GPPHeader"/>
        <w:spacing w:after="60"/>
        <w:rPr>
          <w:sz w:val="32"/>
          <w:szCs w:val="32"/>
          <w:highlight w:val="yellow"/>
        </w:rPr>
      </w:pPr>
      <w:r>
        <w:t>3GPP TSG-RAN WG2 #113-e</w:t>
      </w:r>
      <w:r>
        <w:tab/>
      </w:r>
      <w:r>
        <w:rPr>
          <w:sz w:val="32"/>
          <w:szCs w:val="32"/>
        </w:rPr>
        <w:t>R2-21xxxxx</w:t>
      </w:r>
    </w:p>
    <w:p w14:paraId="344C4761" w14:textId="2C095EF8" w:rsidR="0093498D" w:rsidRDefault="0093498D" w:rsidP="0093498D">
      <w:pPr>
        <w:pStyle w:val="3GPPHeader"/>
      </w:pPr>
      <w:r>
        <w:t>Electronic meeting, 25</w:t>
      </w:r>
      <w:r w:rsidRPr="0093498D">
        <w:rPr>
          <w:vertAlign w:val="superscript"/>
        </w:rPr>
        <w:t>th</w:t>
      </w:r>
      <w:r>
        <w:t xml:space="preserve"> January - 5th February, 2021</w:t>
      </w:r>
    </w:p>
    <w:p w14:paraId="6D5B253C" w14:textId="77777777" w:rsidR="0093498D" w:rsidRDefault="0093498D" w:rsidP="0093498D">
      <w:pPr>
        <w:rPr>
          <w:rFonts w:ascii="Arial" w:hAnsi="Arial" w:cs="Arial"/>
        </w:rPr>
      </w:pPr>
    </w:p>
    <w:p w14:paraId="5CB05632" w14:textId="77777777" w:rsidR="0093498D" w:rsidRDefault="0093498D" w:rsidP="0093498D">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LS on T</w:t>
      </w:r>
      <w:r w:rsidRPr="00C8007B">
        <w:rPr>
          <w:rFonts w:ascii="Arial" w:hAnsi="Arial" w:cs="Arial"/>
          <w:bCs/>
          <w:vertAlign w:val="subscript"/>
        </w:rPr>
        <w:t>processing</w:t>
      </w:r>
      <w:r>
        <w:rPr>
          <w:rFonts w:ascii="Arial" w:hAnsi="Arial" w:cs="Arial"/>
          <w:bCs/>
        </w:rPr>
        <w:t xml:space="preserve"> for SCG activation</w:t>
      </w:r>
    </w:p>
    <w:p w14:paraId="73E7AF7A" w14:textId="77777777" w:rsidR="0093498D" w:rsidRDefault="0093498D" w:rsidP="0093498D">
      <w:pPr>
        <w:spacing w:after="60"/>
        <w:ind w:left="1985" w:hanging="1985"/>
        <w:rPr>
          <w:rFonts w:ascii="Arial" w:hAnsi="Arial" w:cs="Arial"/>
          <w:bCs/>
        </w:rPr>
      </w:pPr>
      <w:r>
        <w:rPr>
          <w:rFonts w:ascii="Arial" w:hAnsi="Arial" w:cs="Arial"/>
          <w:b/>
        </w:rPr>
        <w:t>Release:</w:t>
      </w:r>
      <w:r>
        <w:rPr>
          <w:rFonts w:ascii="Arial" w:hAnsi="Arial" w:cs="Arial"/>
          <w:bCs/>
        </w:rPr>
        <w:tab/>
        <w:t>Rel-16</w:t>
      </w:r>
    </w:p>
    <w:p w14:paraId="1A43CA11" w14:textId="77777777" w:rsidR="0093498D" w:rsidRDefault="0093498D" w:rsidP="0093498D">
      <w:pPr>
        <w:spacing w:after="60"/>
        <w:ind w:left="1985" w:hanging="1985"/>
        <w:rPr>
          <w:rFonts w:ascii="Arial" w:hAnsi="Arial" w:cs="Arial"/>
          <w:bCs/>
        </w:rPr>
      </w:pPr>
      <w:r>
        <w:rPr>
          <w:rFonts w:ascii="Arial" w:hAnsi="Arial" w:cs="Arial"/>
          <w:b/>
        </w:rPr>
        <w:t>Work Item:</w:t>
      </w:r>
      <w:r>
        <w:rPr>
          <w:rFonts w:ascii="Arial" w:hAnsi="Arial" w:cs="Arial"/>
          <w:bCs/>
        </w:rPr>
        <w:tab/>
      </w:r>
      <w:r w:rsidRPr="00FD40E5">
        <w:rPr>
          <w:rFonts w:ascii="Arial" w:hAnsi="Arial" w:cs="Arial"/>
          <w:bCs/>
        </w:rPr>
        <w:t>LTE_NR_DC_enh2-Core</w:t>
      </w:r>
    </w:p>
    <w:p w14:paraId="35ABB3A3" w14:textId="77777777" w:rsidR="0093498D" w:rsidRDefault="0093498D" w:rsidP="0093498D">
      <w:pPr>
        <w:spacing w:after="60"/>
        <w:ind w:left="1985" w:hanging="1985"/>
        <w:rPr>
          <w:rFonts w:ascii="Arial" w:hAnsi="Arial" w:cs="Arial"/>
          <w:b/>
        </w:rPr>
      </w:pPr>
    </w:p>
    <w:p w14:paraId="1717364E" w14:textId="77777777" w:rsidR="0093498D" w:rsidRDefault="0093498D" w:rsidP="0093498D">
      <w:pPr>
        <w:spacing w:after="60"/>
        <w:ind w:left="1985" w:hanging="1985"/>
        <w:rPr>
          <w:rFonts w:ascii="Arial" w:hAnsi="Arial" w:cs="Arial"/>
          <w:bCs/>
        </w:rPr>
      </w:pPr>
      <w:r>
        <w:rPr>
          <w:rFonts w:ascii="Arial" w:hAnsi="Arial" w:cs="Arial"/>
          <w:b/>
        </w:rPr>
        <w:t>Source:</w:t>
      </w:r>
      <w:r>
        <w:rPr>
          <w:rFonts w:ascii="Arial" w:hAnsi="Arial" w:cs="Arial"/>
          <w:bCs/>
        </w:rPr>
        <w:tab/>
        <w:t>RAN WG2</w:t>
      </w:r>
    </w:p>
    <w:p w14:paraId="708B09C0" w14:textId="77777777" w:rsidR="0093498D" w:rsidRDefault="0093498D" w:rsidP="0093498D">
      <w:pPr>
        <w:spacing w:after="60"/>
        <w:ind w:left="1985" w:hanging="1985"/>
        <w:rPr>
          <w:rFonts w:ascii="Arial" w:hAnsi="Arial" w:cs="Arial"/>
          <w:bCs/>
        </w:rPr>
      </w:pPr>
      <w:r>
        <w:rPr>
          <w:rFonts w:ascii="Arial" w:hAnsi="Arial" w:cs="Arial"/>
          <w:b/>
        </w:rPr>
        <w:t>To:</w:t>
      </w:r>
      <w:r>
        <w:rPr>
          <w:rFonts w:ascii="Arial" w:hAnsi="Arial" w:cs="Arial"/>
          <w:bCs/>
        </w:rPr>
        <w:tab/>
        <w:t>RAN WG4</w:t>
      </w:r>
    </w:p>
    <w:p w14:paraId="21020C87" w14:textId="77777777" w:rsidR="0093498D" w:rsidRDefault="0093498D" w:rsidP="0093498D">
      <w:pPr>
        <w:spacing w:after="60"/>
        <w:ind w:left="1985" w:hanging="1985"/>
        <w:rPr>
          <w:rFonts w:ascii="Arial" w:hAnsi="Arial" w:cs="Arial"/>
          <w:bCs/>
        </w:rPr>
      </w:pPr>
      <w:r>
        <w:rPr>
          <w:rFonts w:ascii="Arial" w:hAnsi="Arial" w:cs="Arial"/>
          <w:b/>
        </w:rPr>
        <w:t>Cc:</w:t>
      </w:r>
      <w:r>
        <w:rPr>
          <w:rFonts w:ascii="Arial" w:hAnsi="Arial" w:cs="Arial"/>
          <w:bCs/>
        </w:rPr>
        <w:tab/>
      </w:r>
    </w:p>
    <w:p w14:paraId="66A76198" w14:textId="77777777" w:rsidR="0093498D" w:rsidRDefault="0093498D" w:rsidP="0093498D">
      <w:pPr>
        <w:spacing w:after="60"/>
        <w:ind w:left="1985" w:hanging="1985"/>
        <w:rPr>
          <w:rFonts w:ascii="Arial" w:hAnsi="Arial" w:cs="Arial"/>
          <w:bCs/>
        </w:rPr>
      </w:pPr>
    </w:p>
    <w:p w14:paraId="3E57FA28" w14:textId="77777777" w:rsidR="0093498D" w:rsidRPr="00C8007B" w:rsidRDefault="0093498D" w:rsidP="0093498D">
      <w:pPr>
        <w:tabs>
          <w:tab w:val="left" w:pos="2268"/>
        </w:tabs>
        <w:spacing w:after="0"/>
        <w:rPr>
          <w:rFonts w:ascii="Arial" w:hAnsi="Arial" w:cs="Arial"/>
          <w:b/>
        </w:rPr>
      </w:pPr>
      <w:r>
        <w:rPr>
          <w:rFonts w:ascii="Arial" w:hAnsi="Arial" w:cs="Arial"/>
          <w:b/>
        </w:rPr>
        <w:t>Contact Person:</w:t>
      </w:r>
      <w:r>
        <w:rPr>
          <w:rFonts w:ascii="Arial" w:hAnsi="Arial" w:cs="Arial"/>
          <w:bCs/>
        </w:rPr>
        <w:tab/>
      </w:r>
    </w:p>
    <w:p w14:paraId="5024A6A0" w14:textId="77777777" w:rsidR="0093498D" w:rsidRPr="00C8007B" w:rsidRDefault="0093498D" w:rsidP="0093498D">
      <w:pPr>
        <w:pStyle w:val="Heading4"/>
        <w:tabs>
          <w:tab w:val="left" w:pos="2268"/>
        </w:tabs>
        <w:spacing w:before="0" w:after="0"/>
        <w:ind w:left="567"/>
        <w:rPr>
          <w:rFonts w:eastAsia="DengXian" w:cs="Arial"/>
          <w:bCs/>
          <w:sz w:val="20"/>
        </w:rPr>
      </w:pPr>
      <w:r>
        <w:rPr>
          <w:rFonts w:eastAsia="DengXian" w:cs="Arial"/>
          <w:b/>
        </w:rPr>
        <w:tab/>
      </w:r>
      <w:r w:rsidRPr="00C8007B">
        <w:rPr>
          <w:rFonts w:eastAsia="DengXian" w:cs="Arial"/>
          <w:b/>
          <w:sz w:val="20"/>
        </w:rPr>
        <w:t>Name:</w:t>
      </w:r>
      <w:r w:rsidRPr="00C8007B">
        <w:rPr>
          <w:rFonts w:eastAsia="DengXian" w:cs="Arial"/>
          <w:bCs/>
          <w:sz w:val="20"/>
        </w:rPr>
        <w:tab/>
        <w:t>Stefan Wager</w:t>
      </w:r>
    </w:p>
    <w:p w14:paraId="291916A7" w14:textId="77777777" w:rsidR="0093498D" w:rsidRPr="00C8007B" w:rsidRDefault="0093498D" w:rsidP="0093498D">
      <w:pPr>
        <w:pStyle w:val="Heading7"/>
        <w:tabs>
          <w:tab w:val="left" w:pos="2268"/>
        </w:tabs>
        <w:spacing w:before="0" w:after="0"/>
        <w:ind w:left="567"/>
        <w:rPr>
          <w:rFonts w:eastAsia="DengXian" w:cs="Arial"/>
        </w:rPr>
      </w:pPr>
      <w:r w:rsidRPr="00C8007B">
        <w:rPr>
          <w:rFonts w:cs="Arial"/>
        </w:rPr>
        <w:tab/>
        <w:t>E-mail Address:</w:t>
      </w:r>
      <w:r w:rsidRPr="00C8007B">
        <w:rPr>
          <w:rFonts w:cs="Arial"/>
        </w:rPr>
        <w:tab/>
        <w:t>stefan.wager@ericsson.com</w:t>
      </w:r>
    </w:p>
    <w:p w14:paraId="4286C5EE" w14:textId="77777777" w:rsidR="0093498D" w:rsidRDefault="0093498D" w:rsidP="0093498D">
      <w:pPr>
        <w:spacing w:after="60"/>
        <w:ind w:left="1985" w:hanging="1985"/>
        <w:rPr>
          <w:rFonts w:ascii="Arial" w:hAnsi="Arial" w:cs="Arial"/>
          <w:b/>
          <w:lang w:eastAsia="en-US"/>
        </w:rPr>
      </w:pPr>
    </w:p>
    <w:p w14:paraId="47641D51" w14:textId="29BA0CF5" w:rsidR="0093498D" w:rsidRDefault="0093498D" w:rsidP="0093498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8164FE">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6C58ECE" w14:textId="77777777" w:rsidR="0093498D" w:rsidRDefault="0093498D" w:rsidP="0093498D">
      <w:pPr>
        <w:spacing w:after="60"/>
        <w:ind w:left="1985" w:hanging="1985"/>
        <w:rPr>
          <w:rFonts w:ascii="Arial" w:hAnsi="Arial" w:cs="Arial"/>
          <w:b/>
        </w:rPr>
      </w:pPr>
    </w:p>
    <w:p w14:paraId="440461A2" w14:textId="77777777" w:rsidR="0093498D" w:rsidRDefault="0093498D" w:rsidP="0093498D">
      <w:pPr>
        <w:spacing w:after="60"/>
        <w:ind w:left="1985" w:hanging="1985"/>
        <w:rPr>
          <w:rFonts w:ascii="Arial" w:hAnsi="Arial" w:cs="Arial"/>
          <w:bCs/>
        </w:rPr>
      </w:pPr>
      <w:r>
        <w:rPr>
          <w:rFonts w:ascii="Arial" w:hAnsi="Arial" w:cs="Arial"/>
          <w:b/>
        </w:rPr>
        <w:t>Attachments:</w:t>
      </w:r>
      <w:r>
        <w:rPr>
          <w:rFonts w:ascii="Arial" w:hAnsi="Arial" w:cs="Arial"/>
          <w:bCs/>
        </w:rPr>
        <w:tab/>
        <w:t xml:space="preserve">- </w:t>
      </w:r>
    </w:p>
    <w:p w14:paraId="772253CC" w14:textId="77777777" w:rsidR="0093498D" w:rsidRDefault="0093498D" w:rsidP="0093498D">
      <w:pPr>
        <w:pBdr>
          <w:bottom w:val="single" w:sz="4" w:space="1" w:color="auto"/>
        </w:pBdr>
        <w:rPr>
          <w:rFonts w:ascii="Arial" w:hAnsi="Arial" w:cs="Arial"/>
        </w:rPr>
      </w:pPr>
    </w:p>
    <w:p w14:paraId="7AF5B20A" w14:textId="77777777" w:rsidR="0093498D" w:rsidRDefault="0093498D" w:rsidP="0093498D">
      <w:pPr>
        <w:rPr>
          <w:rFonts w:ascii="Arial" w:hAnsi="Arial" w:cs="Arial"/>
        </w:rPr>
      </w:pPr>
    </w:p>
    <w:p w14:paraId="3EBC306E" w14:textId="77777777" w:rsidR="0093498D" w:rsidRDefault="0093498D" w:rsidP="002C7158">
      <w:pPr>
        <w:pStyle w:val="ListParagraph"/>
        <w:numPr>
          <w:ilvl w:val="0"/>
          <w:numId w:val="17"/>
        </w:numPr>
        <w:spacing w:after="120" w:line="256" w:lineRule="auto"/>
        <w:ind w:left="270"/>
        <w:contextualSpacing/>
        <w:textAlignment w:val="auto"/>
        <w:rPr>
          <w:rFonts w:ascii="Arial" w:hAnsi="Arial" w:cs="Arial"/>
          <w:b/>
        </w:rPr>
      </w:pPr>
      <w:bookmarkStart w:id="41" w:name="_Hlk41810046"/>
      <w:r>
        <w:rPr>
          <w:rFonts w:ascii="Arial" w:hAnsi="Arial" w:cs="Arial"/>
          <w:b/>
        </w:rPr>
        <w:t>Overall Description:</w:t>
      </w:r>
    </w:p>
    <w:p w14:paraId="549ABD1B" w14:textId="77777777" w:rsidR="0093498D" w:rsidRDefault="0093498D" w:rsidP="0093498D">
      <w:pPr>
        <w:pStyle w:val="ListParagraph"/>
        <w:spacing w:after="120"/>
        <w:ind w:left="270"/>
        <w:jc w:val="both"/>
        <w:rPr>
          <w:rFonts w:ascii="Arial" w:hAnsi="Arial" w:cs="Arial"/>
          <w:lang w:val="fi-FI"/>
        </w:rPr>
      </w:pPr>
      <w:r>
        <w:rPr>
          <w:rFonts w:ascii="Arial" w:hAnsi="Arial" w:cs="Arial"/>
        </w:rPr>
        <w:t xml:space="preserve">RAN2 </w:t>
      </w:r>
      <w:r>
        <w:rPr>
          <w:rFonts w:ascii="Arial" w:hAnsi="Arial" w:cs="Arial"/>
          <w:lang w:val="fi-FI"/>
        </w:rPr>
        <w:t>has discussed the SCG activation delay and would like to confirm the following understanding with RAN4 regarding the physical layer processing T</w:t>
      </w:r>
      <w:r w:rsidRPr="00DB768D">
        <w:rPr>
          <w:rFonts w:ascii="Arial" w:hAnsi="Arial" w:cs="Arial"/>
          <w:vertAlign w:val="subscript"/>
          <w:lang w:val="fi-FI"/>
        </w:rPr>
        <w:t>processing</w:t>
      </w:r>
      <w:r>
        <w:rPr>
          <w:rFonts w:ascii="Arial" w:hAnsi="Arial" w:cs="Arial"/>
          <w:lang w:val="fi-FI"/>
        </w:rPr>
        <w:t xml:space="preserve">: </w:t>
      </w:r>
    </w:p>
    <w:p w14:paraId="4F55AA25" w14:textId="77777777" w:rsidR="0093498D" w:rsidRPr="00DB768D" w:rsidRDefault="0093498D" w:rsidP="002C7158">
      <w:pPr>
        <w:pStyle w:val="ListParagraph"/>
        <w:numPr>
          <w:ilvl w:val="0"/>
          <w:numId w:val="18"/>
        </w:numPr>
        <w:ind w:hanging="357"/>
        <w:jc w:val="both"/>
        <w:rPr>
          <w:rFonts w:ascii="Arial" w:hAnsi="Arial" w:cs="Arial"/>
        </w:rPr>
      </w:pPr>
      <w:r w:rsidRPr="00DB768D">
        <w:rPr>
          <w:rFonts w:ascii="Arial" w:hAnsi="Arial" w:cs="Arial"/>
          <w:lang w:val="fi-FI"/>
        </w:rPr>
        <w:t xml:space="preserve">Tprocessing </w:t>
      </w:r>
      <w:r>
        <w:rPr>
          <w:rFonts w:ascii="Arial" w:hAnsi="Arial" w:cs="Arial"/>
          <w:lang w:val="fi-FI"/>
        </w:rPr>
        <w:t xml:space="preserve">for SCG addition currently </w:t>
      </w:r>
      <w:r w:rsidRPr="00DB768D">
        <w:rPr>
          <w:rFonts w:ascii="Arial" w:hAnsi="Arial" w:cs="Arial"/>
          <w:lang w:val="fi-FI"/>
        </w:rPr>
        <w:t xml:space="preserve">consists of </w:t>
      </w:r>
    </w:p>
    <w:p w14:paraId="246D3884" w14:textId="77777777" w:rsidR="0093498D" w:rsidRPr="00DB768D" w:rsidRDefault="0093498D" w:rsidP="002C7158">
      <w:pPr>
        <w:pStyle w:val="ListParagraph"/>
        <w:numPr>
          <w:ilvl w:val="1"/>
          <w:numId w:val="18"/>
        </w:numPr>
        <w:ind w:hanging="357"/>
        <w:jc w:val="both"/>
        <w:rPr>
          <w:rFonts w:ascii="Arial" w:hAnsi="Arial" w:cs="Arial"/>
        </w:rPr>
      </w:pPr>
      <w:r w:rsidRPr="00DB768D">
        <w:rPr>
          <w:rFonts w:ascii="Arial" w:hAnsi="Arial" w:cs="Arial"/>
          <w:lang w:val="fi-FI"/>
        </w:rPr>
        <w:t xml:space="preserve">20ms for loading software and </w:t>
      </w:r>
    </w:p>
    <w:p w14:paraId="0D1DE916" w14:textId="77777777" w:rsidR="0093498D" w:rsidRPr="00DB768D" w:rsidRDefault="0093498D" w:rsidP="002C7158">
      <w:pPr>
        <w:pStyle w:val="ListParagraph"/>
        <w:numPr>
          <w:ilvl w:val="1"/>
          <w:numId w:val="18"/>
        </w:numPr>
        <w:spacing w:after="120"/>
        <w:jc w:val="both"/>
        <w:rPr>
          <w:rFonts w:ascii="Arial" w:hAnsi="Arial" w:cs="Arial"/>
        </w:rPr>
      </w:pPr>
      <w:r w:rsidRPr="00DB768D">
        <w:rPr>
          <w:rFonts w:ascii="Arial" w:hAnsi="Arial" w:cs="Arial"/>
          <w:lang w:val="fi-FI"/>
        </w:rPr>
        <w:t xml:space="preserve">20ms for initializing data structures and buffers. </w:t>
      </w:r>
    </w:p>
    <w:p w14:paraId="4F83AF42" w14:textId="77777777" w:rsidR="0093498D" w:rsidRPr="00DB768D" w:rsidRDefault="0093498D" w:rsidP="002C7158">
      <w:pPr>
        <w:pStyle w:val="ListParagraph"/>
        <w:numPr>
          <w:ilvl w:val="0"/>
          <w:numId w:val="18"/>
        </w:numPr>
        <w:spacing w:after="120"/>
        <w:jc w:val="both"/>
        <w:rPr>
          <w:rFonts w:ascii="Arial" w:hAnsi="Arial" w:cs="Arial"/>
        </w:rPr>
      </w:pPr>
      <w:r>
        <w:rPr>
          <w:rFonts w:ascii="Arial" w:hAnsi="Arial" w:cs="Arial"/>
          <w:lang w:val="fi-FI"/>
        </w:rPr>
        <w:t xml:space="preserve">For SCG activation, </w:t>
      </w:r>
    </w:p>
    <w:p w14:paraId="09E74EA5" w14:textId="77777777" w:rsidR="0093498D" w:rsidRPr="00DB768D" w:rsidRDefault="0093498D" w:rsidP="002C7158">
      <w:pPr>
        <w:pStyle w:val="ListParagraph"/>
        <w:numPr>
          <w:ilvl w:val="1"/>
          <w:numId w:val="18"/>
        </w:numPr>
        <w:spacing w:after="120"/>
        <w:jc w:val="both"/>
        <w:rPr>
          <w:rFonts w:ascii="Arial" w:hAnsi="Arial" w:cs="Arial"/>
        </w:rPr>
      </w:pPr>
      <w:r w:rsidRPr="00DB768D">
        <w:rPr>
          <w:rFonts w:ascii="Arial" w:hAnsi="Arial" w:cs="Arial"/>
          <w:lang w:val="fi-FI"/>
        </w:rPr>
        <w:t>For the software loading it should be realistic to assume that it can be performed during SCG addition, and that the UE can keep the software loaded for the deactivated SCG. There would then be no need to reload the software during SCG activation</w:t>
      </w:r>
      <w:r>
        <w:rPr>
          <w:rFonts w:ascii="Arial" w:hAnsi="Arial" w:cs="Arial"/>
          <w:lang w:val="fi-FI"/>
        </w:rPr>
        <w:t>, assuming SCG stays in the same frequency range</w:t>
      </w:r>
      <w:r w:rsidRPr="00DB768D">
        <w:rPr>
          <w:rFonts w:ascii="Arial" w:hAnsi="Arial" w:cs="Arial"/>
          <w:lang w:val="fi-FI"/>
        </w:rPr>
        <w:t>.</w:t>
      </w:r>
    </w:p>
    <w:p w14:paraId="09C0D75A" w14:textId="77777777" w:rsidR="0093498D" w:rsidRPr="00DB768D" w:rsidRDefault="0093498D" w:rsidP="002C7158">
      <w:pPr>
        <w:pStyle w:val="ListParagraph"/>
        <w:numPr>
          <w:ilvl w:val="1"/>
          <w:numId w:val="18"/>
        </w:numPr>
        <w:spacing w:after="120"/>
        <w:jc w:val="both"/>
        <w:rPr>
          <w:rFonts w:ascii="Arial" w:hAnsi="Arial" w:cs="Arial"/>
        </w:rPr>
      </w:pPr>
      <w:r w:rsidRPr="00DB768D">
        <w:rPr>
          <w:rFonts w:ascii="Arial" w:hAnsi="Arial" w:cs="Arial"/>
          <w:lang w:val="fi-FI"/>
        </w:rPr>
        <w:t xml:space="preserve">For the initialization of data structures and buffers, it should be possible for UEs to keep the memory initialized for deactivated SCG, </w:t>
      </w:r>
      <w:r>
        <w:rPr>
          <w:rFonts w:ascii="Arial" w:hAnsi="Arial" w:cs="Arial"/>
          <w:lang w:val="fi-FI"/>
        </w:rPr>
        <w:t xml:space="preserve">assuming </w:t>
      </w:r>
      <w:r w:rsidRPr="00DB768D">
        <w:rPr>
          <w:rFonts w:ascii="Arial" w:hAnsi="Arial" w:cs="Arial"/>
          <w:lang w:val="fi-FI"/>
        </w:rPr>
        <w:t xml:space="preserve">the cell or frequency is not changed. </w:t>
      </w:r>
    </w:p>
    <w:p w14:paraId="46124F24" w14:textId="77777777" w:rsidR="0093498D" w:rsidRDefault="0093498D" w:rsidP="002C7158">
      <w:pPr>
        <w:pStyle w:val="ListParagraph"/>
        <w:numPr>
          <w:ilvl w:val="1"/>
          <w:numId w:val="18"/>
        </w:numPr>
        <w:spacing w:after="120"/>
        <w:jc w:val="both"/>
        <w:rPr>
          <w:rFonts w:ascii="Arial" w:hAnsi="Arial" w:cs="Arial"/>
        </w:rPr>
      </w:pPr>
      <w:r>
        <w:rPr>
          <w:rFonts w:ascii="Arial" w:hAnsi="Arial" w:cs="Arial"/>
          <w:lang w:val="fi-FI"/>
        </w:rPr>
        <w:t xml:space="preserve">In summary, </w:t>
      </w:r>
      <w:r w:rsidRPr="00DB768D">
        <w:rPr>
          <w:rFonts w:ascii="Arial" w:hAnsi="Arial" w:cs="Arial"/>
          <w:lang w:val="fi-FI"/>
        </w:rPr>
        <w:t>if there is no mobility for the deactivated SCG, it should be possible to assume Tprocessing = 0ms</w:t>
      </w:r>
      <w:r>
        <w:rPr>
          <w:rFonts w:ascii="Arial" w:hAnsi="Arial" w:cs="Arial"/>
          <w:lang w:val="fi-FI"/>
        </w:rPr>
        <w:t xml:space="preserve"> for SCG activation.</w:t>
      </w:r>
      <w:r>
        <w:rPr>
          <w:rFonts w:ascii="Arial" w:hAnsi="Arial" w:cs="Arial"/>
        </w:rPr>
        <w:t xml:space="preserve">  </w:t>
      </w:r>
      <w:bookmarkEnd w:id="41"/>
    </w:p>
    <w:p w14:paraId="477301CD" w14:textId="77777777" w:rsidR="0093498D" w:rsidRDefault="0093498D" w:rsidP="0093498D">
      <w:pPr>
        <w:spacing w:after="120"/>
        <w:jc w:val="both"/>
        <w:rPr>
          <w:rFonts w:ascii="Arial" w:hAnsi="Arial" w:cs="Arial"/>
        </w:rPr>
      </w:pPr>
    </w:p>
    <w:p w14:paraId="2218FAA1" w14:textId="77777777" w:rsidR="0093498D" w:rsidRDefault="0093498D" w:rsidP="002C7158">
      <w:pPr>
        <w:pStyle w:val="ListParagraph"/>
        <w:numPr>
          <w:ilvl w:val="0"/>
          <w:numId w:val="17"/>
        </w:numPr>
        <w:spacing w:after="120" w:line="256" w:lineRule="auto"/>
        <w:ind w:left="270"/>
        <w:contextualSpacing/>
        <w:textAlignment w:val="auto"/>
        <w:rPr>
          <w:rFonts w:ascii="Arial" w:hAnsi="Arial" w:cs="Arial"/>
          <w:b/>
        </w:rPr>
      </w:pPr>
      <w:r>
        <w:rPr>
          <w:rFonts w:ascii="Arial" w:hAnsi="Arial" w:cs="Arial"/>
          <w:b/>
        </w:rPr>
        <w:t>Actions:</w:t>
      </w:r>
    </w:p>
    <w:p w14:paraId="3353AE35" w14:textId="77777777" w:rsidR="0093498D" w:rsidRDefault="0093498D" w:rsidP="0093498D">
      <w:pPr>
        <w:spacing w:after="120"/>
        <w:ind w:left="1985" w:hanging="1985"/>
        <w:rPr>
          <w:rFonts w:ascii="Arial" w:hAnsi="Arial" w:cs="Arial"/>
        </w:rPr>
      </w:pPr>
      <w:r>
        <w:rPr>
          <w:rFonts w:ascii="Arial" w:hAnsi="Arial" w:cs="Arial"/>
          <w:b/>
        </w:rPr>
        <w:t>To RAN4:</w:t>
      </w:r>
      <w:r>
        <w:rPr>
          <w:rFonts w:ascii="Arial" w:hAnsi="Arial" w:cs="Arial"/>
          <w:b/>
        </w:rPr>
        <w:tab/>
      </w:r>
      <w:r>
        <w:rPr>
          <w:rFonts w:ascii="Arial" w:hAnsi="Arial" w:cs="Arial"/>
        </w:rPr>
        <w:t>RAN2 respectfully asks RAN4 to confirm the above RAN2 understanding.</w:t>
      </w:r>
    </w:p>
    <w:p w14:paraId="2C4EF82E" w14:textId="77777777" w:rsidR="0093498D" w:rsidRDefault="0093498D" w:rsidP="0093498D">
      <w:pPr>
        <w:spacing w:after="120"/>
        <w:rPr>
          <w:rFonts w:ascii="Arial" w:hAnsi="Arial" w:cs="Arial"/>
          <w:b/>
        </w:rPr>
      </w:pPr>
    </w:p>
    <w:p w14:paraId="6C93B6C7" w14:textId="77777777" w:rsidR="0093498D" w:rsidRDefault="0093498D" w:rsidP="002C7158">
      <w:pPr>
        <w:pStyle w:val="ListParagraph"/>
        <w:numPr>
          <w:ilvl w:val="0"/>
          <w:numId w:val="17"/>
        </w:numPr>
        <w:spacing w:after="120" w:line="256" w:lineRule="auto"/>
        <w:ind w:left="270"/>
        <w:contextualSpacing/>
        <w:textAlignment w:val="auto"/>
        <w:rPr>
          <w:rFonts w:ascii="Arial" w:hAnsi="Arial" w:cs="Arial"/>
          <w:b/>
        </w:rPr>
      </w:pPr>
      <w:r>
        <w:rPr>
          <w:rFonts w:ascii="Arial" w:hAnsi="Arial" w:cs="Arial"/>
          <w:b/>
        </w:rPr>
        <w:t>Date of Next TSG-RAN WG2 Meetings:</w:t>
      </w:r>
    </w:p>
    <w:p w14:paraId="79D7E7BA" w14:textId="77777777" w:rsidR="0093498D" w:rsidRDefault="0093498D" w:rsidP="0093498D">
      <w:pPr>
        <w:tabs>
          <w:tab w:val="left" w:pos="4962"/>
          <w:tab w:val="left" w:pos="7797"/>
        </w:tabs>
        <w:spacing w:after="120"/>
        <w:ind w:left="2268" w:hanging="2268"/>
        <w:rPr>
          <w:rFonts w:ascii="Arial" w:hAnsi="Arial" w:cs="Arial"/>
          <w:bCs/>
        </w:rPr>
      </w:pPr>
      <w:r>
        <w:rPr>
          <w:rFonts w:ascii="Arial" w:hAnsi="Arial" w:cs="Arial"/>
          <w:bCs/>
        </w:rPr>
        <w:t>TSG-RAN WG2 Meeting #113e</w:t>
      </w:r>
      <w:r>
        <w:rPr>
          <w:rFonts w:ascii="Arial" w:hAnsi="Arial" w:cs="Arial"/>
          <w:bCs/>
        </w:rPr>
        <w:tab/>
        <w:t>2021-01-25 to 2021-02-05</w:t>
      </w:r>
      <w:r>
        <w:rPr>
          <w:rFonts w:ascii="Arial" w:hAnsi="Arial" w:cs="Arial"/>
          <w:bCs/>
        </w:rPr>
        <w:tab/>
        <w:t>E-Meeting</w:t>
      </w:r>
    </w:p>
    <w:p w14:paraId="6AE1B916" w14:textId="77777777" w:rsidR="0093498D" w:rsidRDefault="0093498D" w:rsidP="0093498D">
      <w:pPr>
        <w:tabs>
          <w:tab w:val="left" w:pos="4962"/>
          <w:tab w:val="left" w:pos="7797"/>
        </w:tabs>
        <w:spacing w:after="120"/>
        <w:ind w:left="2268" w:hanging="2268"/>
        <w:rPr>
          <w:rFonts w:ascii="Arial" w:hAnsi="Arial" w:cs="Arial"/>
          <w:bCs/>
        </w:rPr>
      </w:pPr>
      <w:r>
        <w:rPr>
          <w:rFonts w:ascii="Arial" w:hAnsi="Arial" w:cs="Arial"/>
          <w:bCs/>
        </w:rPr>
        <w:t>TSG-RAN WG2 Meeting #113-bis-e</w:t>
      </w:r>
      <w:r>
        <w:rPr>
          <w:rFonts w:ascii="Arial" w:hAnsi="Arial" w:cs="Arial"/>
          <w:bCs/>
        </w:rPr>
        <w:tab/>
        <w:t>2021-04-12 to 2021-04-20</w:t>
      </w:r>
      <w:r>
        <w:rPr>
          <w:rFonts w:ascii="Arial" w:hAnsi="Arial" w:cs="Arial"/>
          <w:bCs/>
        </w:rPr>
        <w:tab/>
        <w:t>E-Meeting</w:t>
      </w:r>
    </w:p>
    <w:p w14:paraId="45D1966E" w14:textId="77777777" w:rsidR="0093498D" w:rsidRPr="00CE0424" w:rsidRDefault="0093498D" w:rsidP="0093498D">
      <w:pPr>
        <w:pStyle w:val="Reference"/>
        <w:numPr>
          <w:ilvl w:val="0"/>
          <w:numId w:val="0"/>
        </w:numPr>
        <w:ind w:left="567" w:hanging="567"/>
      </w:pPr>
    </w:p>
    <w:sectPr w:rsidR="0093498D"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F4B6" w16cex:dateUtc="2021-01-14T15:49:00Z"/>
  <w16cex:commentExtensible w16cex:durableId="23AAA433" w16cex:dateUtc="2021-01-14T10:06:00Z"/>
  <w16cex:commentExtensible w16cex:durableId="23AAA577" w16cex:dateUtc="2021-01-14T10:11:00Z"/>
  <w16cex:commentExtensible w16cex:durableId="23AAA616" w16cex:dateUtc="2021-01-14T10:14:00Z"/>
  <w16cex:commentExtensible w16cex:durableId="23AAAF77" w16cex:dateUtc="2021-01-14T10:54:00Z"/>
  <w16cex:commentExtensible w16cex:durableId="23AAB133" w16cex:dateUtc="2021-01-14T11: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38095" w14:textId="77777777" w:rsidR="002A5171" w:rsidRDefault="002A5171">
      <w:r>
        <w:separator/>
      </w:r>
    </w:p>
  </w:endnote>
  <w:endnote w:type="continuationSeparator" w:id="0">
    <w:p w14:paraId="0842E12F" w14:textId="77777777" w:rsidR="002A5171" w:rsidRDefault="002A5171">
      <w:r>
        <w:continuationSeparator/>
      </w:r>
    </w:p>
  </w:endnote>
  <w:endnote w:type="continuationNotice" w:id="1">
    <w:p w14:paraId="1CE20DB9" w14:textId="77777777" w:rsidR="002A5171" w:rsidRDefault="002A5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2A5171" w:rsidRDefault="002A51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34262" w14:textId="77777777" w:rsidR="002A5171" w:rsidRDefault="002A5171">
      <w:r>
        <w:separator/>
      </w:r>
    </w:p>
  </w:footnote>
  <w:footnote w:type="continuationSeparator" w:id="0">
    <w:p w14:paraId="6F06A379" w14:textId="77777777" w:rsidR="002A5171" w:rsidRDefault="002A5171">
      <w:r>
        <w:continuationSeparator/>
      </w:r>
    </w:p>
  </w:footnote>
  <w:footnote w:type="continuationNotice" w:id="1">
    <w:p w14:paraId="419FA6CD" w14:textId="77777777" w:rsidR="002A5171" w:rsidRDefault="002A51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2A5171" w:rsidRDefault="002A51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F6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90C9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C2903"/>
    <w:multiLevelType w:val="hybridMultilevel"/>
    <w:tmpl w:val="17706486"/>
    <w:lvl w:ilvl="0" w:tplc="DE5ACA28">
      <w:start w:val="1"/>
      <w:numFmt w:val="bullet"/>
      <w:lvlText w:val="—"/>
      <w:lvlJc w:val="left"/>
      <w:pPr>
        <w:tabs>
          <w:tab w:val="num" w:pos="720"/>
        </w:tabs>
        <w:ind w:left="720" w:hanging="360"/>
      </w:pPr>
      <w:rPr>
        <w:rFonts w:ascii="Ericsson Hilda Light" w:hAnsi="Ericsson Hilda Light" w:hint="default"/>
      </w:rPr>
    </w:lvl>
    <w:lvl w:ilvl="1" w:tplc="D6062B6C">
      <w:start w:val="1"/>
      <w:numFmt w:val="bullet"/>
      <w:lvlText w:val="—"/>
      <w:lvlJc w:val="left"/>
      <w:pPr>
        <w:tabs>
          <w:tab w:val="num" w:pos="1440"/>
        </w:tabs>
        <w:ind w:left="1440" w:hanging="360"/>
      </w:pPr>
      <w:rPr>
        <w:rFonts w:ascii="Ericsson Hilda Light" w:hAnsi="Ericsson Hilda Light" w:hint="default"/>
      </w:rPr>
    </w:lvl>
    <w:lvl w:ilvl="2" w:tplc="42981600" w:tentative="1">
      <w:start w:val="1"/>
      <w:numFmt w:val="bullet"/>
      <w:lvlText w:val="—"/>
      <w:lvlJc w:val="left"/>
      <w:pPr>
        <w:tabs>
          <w:tab w:val="num" w:pos="2160"/>
        </w:tabs>
        <w:ind w:left="2160" w:hanging="360"/>
      </w:pPr>
      <w:rPr>
        <w:rFonts w:ascii="Ericsson Hilda Light" w:hAnsi="Ericsson Hilda Light" w:hint="default"/>
      </w:rPr>
    </w:lvl>
    <w:lvl w:ilvl="3" w:tplc="7E341A66" w:tentative="1">
      <w:start w:val="1"/>
      <w:numFmt w:val="bullet"/>
      <w:lvlText w:val="—"/>
      <w:lvlJc w:val="left"/>
      <w:pPr>
        <w:tabs>
          <w:tab w:val="num" w:pos="2880"/>
        </w:tabs>
        <w:ind w:left="2880" w:hanging="360"/>
      </w:pPr>
      <w:rPr>
        <w:rFonts w:ascii="Ericsson Hilda Light" w:hAnsi="Ericsson Hilda Light" w:hint="default"/>
      </w:rPr>
    </w:lvl>
    <w:lvl w:ilvl="4" w:tplc="37CE69E4" w:tentative="1">
      <w:start w:val="1"/>
      <w:numFmt w:val="bullet"/>
      <w:lvlText w:val="—"/>
      <w:lvlJc w:val="left"/>
      <w:pPr>
        <w:tabs>
          <w:tab w:val="num" w:pos="3600"/>
        </w:tabs>
        <w:ind w:left="3600" w:hanging="360"/>
      </w:pPr>
      <w:rPr>
        <w:rFonts w:ascii="Ericsson Hilda Light" w:hAnsi="Ericsson Hilda Light" w:hint="default"/>
      </w:rPr>
    </w:lvl>
    <w:lvl w:ilvl="5" w:tplc="A5A8C09A" w:tentative="1">
      <w:start w:val="1"/>
      <w:numFmt w:val="bullet"/>
      <w:lvlText w:val="—"/>
      <w:lvlJc w:val="left"/>
      <w:pPr>
        <w:tabs>
          <w:tab w:val="num" w:pos="4320"/>
        </w:tabs>
        <w:ind w:left="4320" w:hanging="360"/>
      </w:pPr>
      <w:rPr>
        <w:rFonts w:ascii="Ericsson Hilda Light" w:hAnsi="Ericsson Hilda Light" w:hint="default"/>
      </w:rPr>
    </w:lvl>
    <w:lvl w:ilvl="6" w:tplc="8910CD32" w:tentative="1">
      <w:start w:val="1"/>
      <w:numFmt w:val="bullet"/>
      <w:lvlText w:val="—"/>
      <w:lvlJc w:val="left"/>
      <w:pPr>
        <w:tabs>
          <w:tab w:val="num" w:pos="5040"/>
        </w:tabs>
        <w:ind w:left="5040" w:hanging="360"/>
      </w:pPr>
      <w:rPr>
        <w:rFonts w:ascii="Ericsson Hilda Light" w:hAnsi="Ericsson Hilda Light" w:hint="default"/>
      </w:rPr>
    </w:lvl>
    <w:lvl w:ilvl="7" w:tplc="9C20F684" w:tentative="1">
      <w:start w:val="1"/>
      <w:numFmt w:val="bullet"/>
      <w:lvlText w:val="—"/>
      <w:lvlJc w:val="left"/>
      <w:pPr>
        <w:tabs>
          <w:tab w:val="num" w:pos="5760"/>
        </w:tabs>
        <w:ind w:left="5760" w:hanging="360"/>
      </w:pPr>
      <w:rPr>
        <w:rFonts w:ascii="Ericsson Hilda Light" w:hAnsi="Ericsson Hilda Light" w:hint="default"/>
      </w:rPr>
    </w:lvl>
    <w:lvl w:ilvl="8" w:tplc="C3C270A2"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7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A7BC6"/>
    <w:multiLevelType w:val="hybridMultilevel"/>
    <w:tmpl w:val="49465916"/>
    <w:lvl w:ilvl="0" w:tplc="09D219B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7A3684"/>
    <w:multiLevelType w:val="hybridMultilevel"/>
    <w:tmpl w:val="2B3E7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
  </w:num>
  <w:num w:numId="4">
    <w:abstractNumId w:val="13"/>
  </w:num>
  <w:num w:numId="5">
    <w:abstractNumId w:val="14"/>
  </w:num>
  <w:num w:numId="6">
    <w:abstractNumId w:val="16"/>
  </w:num>
  <w:num w:numId="7">
    <w:abstractNumId w:val="7"/>
  </w:num>
  <w:num w:numId="8">
    <w:abstractNumId w:val="8"/>
  </w:num>
  <w:num w:numId="9">
    <w:abstractNumId w:val="4"/>
  </w:num>
  <w:num w:numId="10">
    <w:abstractNumId w:val="19"/>
  </w:num>
  <w:num w:numId="11">
    <w:abstractNumId w:val="9"/>
  </w:num>
  <w:num w:numId="12">
    <w:abstractNumId w:val="17"/>
  </w:num>
  <w:num w:numId="13">
    <w:abstractNumId w:val="5"/>
  </w:num>
  <w:num w:numId="14">
    <w:abstractNumId w:val="6"/>
  </w:num>
  <w:num w:numId="15">
    <w:abstractNumId w:val="20"/>
  </w:num>
  <w:num w:numId="16">
    <w:abstractNumId w:val="18"/>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
  </w:num>
  <w:num w:numId="20">
    <w:abstractNumId w:val="21"/>
  </w:num>
  <w:num w:numId="21">
    <w:abstractNumId w:val="1"/>
  </w:num>
  <w:num w:numId="22">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FA"/>
    <w:rsid w:val="00002A37"/>
    <w:rsid w:val="00003096"/>
    <w:rsid w:val="0000564C"/>
    <w:rsid w:val="00006446"/>
    <w:rsid w:val="00006896"/>
    <w:rsid w:val="000079AE"/>
    <w:rsid w:val="00007CDC"/>
    <w:rsid w:val="0001172A"/>
    <w:rsid w:val="00011B28"/>
    <w:rsid w:val="000142C2"/>
    <w:rsid w:val="00015684"/>
    <w:rsid w:val="00015C15"/>
    <w:rsid w:val="00015D15"/>
    <w:rsid w:val="000231A0"/>
    <w:rsid w:val="00023F06"/>
    <w:rsid w:val="00024D4D"/>
    <w:rsid w:val="0002564D"/>
    <w:rsid w:val="00025ECA"/>
    <w:rsid w:val="00026A4E"/>
    <w:rsid w:val="00027B75"/>
    <w:rsid w:val="00030D5E"/>
    <w:rsid w:val="000325B8"/>
    <w:rsid w:val="00032FE6"/>
    <w:rsid w:val="00034C15"/>
    <w:rsid w:val="00036BA1"/>
    <w:rsid w:val="00037058"/>
    <w:rsid w:val="00040AB1"/>
    <w:rsid w:val="00041712"/>
    <w:rsid w:val="000422E2"/>
    <w:rsid w:val="00042F22"/>
    <w:rsid w:val="000444EF"/>
    <w:rsid w:val="000459C3"/>
    <w:rsid w:val="00047F9E"/>
    <w:rsid w:val="00051BBC"/>
    <w:rsid w:val="00052A07"/>
    <w:rsid w:val="000534E3"/>
    <w:rsid w:val="0005606A"/>
    <w:rsid w:val="00057117"/>
    <w:rsid w:val="000616E7"/>
    <w:rsid w:val="0006487E"/>
    <w:rsid w:val="0006488F"/>
    <w:rsid w:val="00065E1A"/>
    <w:rsid w:val="0007062A"/>
    <w:rsid w:val="000741A1"/>
    <w:rsid w:val="00077E5F"/>
    <w:rsid w:val="0008036A"/>
    <w:rsid w:val="00081AE6"/>
    <w:rsid w:val="00083614"/>
    <w:rsid w:val="0008382A"/>
    <w:rsid w:val="00084C41"/>
    <w:rsid w:val="000855EB"/>
    <w:rsid w:val="00085B52"/>
    <w:rsid w:val="00085D1F"/>
    <w:rsid w:val="0008620C"/>
    <w:rsid w:val="000866F2"/>
    <w:rsid w:val="0009009F"/>
    <w:rsid w:val="00091557"/>
    <w:rsid w:val="000924C1"/>
    <w:rsid w:val="000924F0"/>
    <w:rsid w:val="00093474"/>
    <w:rsid w:val="0009510F"/>
    <w:rsid w:val="000A0B82"/>
    <w:rsid w:val="000A1526"/>
    <w:rsid w:val="000A1B7B"/>
    <w:rsid w:val="000A3BA0"/>
    <w:rsid w:val="000A545B"/>
    <w:rsid w:val="000A56F2"/>
    <w:rsid w:val="000A5AB0"/>
    <w:rsid w:val="000A7531"/>
    <w:rsid w:val="000B22FC"/>
    <w:rsid w:val="000B2719"/>
    <w:rsid w:val="000B2B71"/>
    <w:rsid w:val="000B37FC"/>
    <w:rsid w:val="000B3A8F"/>
    <w:rsid w:val="000B4063"/>
    <w:rsid w:val="000B479A"/>
    <w:rsid w:val="000B4AB9"/>
    <w:rsid w:val="000B58C3"/>
    <w:rsid w:val="000B61E9"/>
    <w:rsid w:val="000B66AF"/>
    <w:rsid w:val="000C165A"/>
    <w:rsid w:val="000C2E19"/>
    <w:rsid w:val="000C3439"/>
    <w:rsid w:val="000C733B"/>
    <w:rsid w:val="000D0D07"/>
    <w:rsid w:val="000D4797"/>
    <w:rsid w:val="000D5A63"/>
    <w:rsid w:val="000D7358"/>
    <w:rsid w:val="000E001C"/>
    <w:rsid w:val="000E0527"/>
    <w:rsid w:val="000E1E92"/>
    <w:rsid w:val="000E22B9"/>
    <w:rsid w:val="000E50B6"/>
    <w:rsid w:val="000E6F94"/>
    <w:rsid w:val="000F06D6"/>
    <w:rsid w:val="000F0EB1"/>
    <w:rsid w:val="000F1106"/>
    <w:rsid w:val="000F14D3"/>
    <w:rsid w:val="000F1A8E"/>
    <w:rsid w:val="000F2696"/>
    <w:rsid w:val="000F2894"/>
    <w:rsid w:val="000F3BE9"/>
    <w:rsid w:val="000F3F6C"/>
    <w:rsid w:val="000F5923"/>
    <w:rsid w:val="000F5F55"/>
    <w:rsid w:val="000F6111"/>
    <w:rsid w:val="000F61F6"/>
    <w:rsid w:val="000F6DF3"/>
    <w:rsid w:val="001005FF"/>
    <w:rsid w:val="00103862"/>
    <w:rsid w:val="001062FB"/>
    <w:rsid w:val="001063E6"/>
    <w:rsid w:val="001067C4"/>
    <w:rsid w:val="00110193"/>
    <w:rsid w:val="00110F59"/>
    <w:rsid w:val="001122A4"/>
    <w:rsid w:val="00113CF4"/>
    <w:rsid w:val="001153EA"/>
    <w:rsid w:val="00115643"/>
    <w:rsid w:val="00116765"/>
    <w:rsid w:val="0011711B"/>
    <w:rsid w:val="001219F5"/>
    <w:rsid w:val="00121A20"/>
    <w:rsid w:val="0012377F"/>
    <w:rsid w:val="00124314"/>
    <w:rsid w:val="001252FF"/>
    <w:rsid w:val="00126B4A"/>
    <w:rsid w:val="00127ECF"/>
    <w:rsid w:val="00132F13"/>
    <w:rsid w:val="00132FD0"/>
    <w:rsid w:val="001344C0"/>
    <w:rsid w:val="001346FA"/>
    <w:rsid w:val="00135252"/>
    <w:rsid w:val="001353D2"/>
    <w:rsid w:val="001360C1"/>
    <w:rsid w:val="00137AB5"/>
    <w:rsid w:val="00137F0B"/>
    <w:rsid w:val="00143088"/>
    <w:rsid w:val="00143BF1"/>
    <w:rsid w:val="00151E23"/>
    <w:rsid w:val="001526E0"/>
    <w:rsid w:val="001551B5"/>
    <w:rsid w:val="001632A7"/>
    <w:rsid w:val="00165893"/>
    <w:rsid w:val="001659C1"/>
    <w:rsid w:val="00170EC9"/>
    <w:rsid w:val="00172714"/>
    <w:rsid w:val="00173A8E"/>
    <w:rsid w:val="0017474A"/>
    <w:rsid w:val="0017502C"/>
    <w:rsid w:val="0018011E"/>
    <w:rsid w:val="0018143F"/>
    <w:rsid w:val="00181FF8"/>
    <w:rsid w:val="001845EC"/>
    <w:rsid w:val="00190AC1"/>
    <w:rsid w:val="00192CE6"/>
    <w:rsid w:val="0019341A"/>
    <w:rsid w:val="00194A57"/>
    <w:rsid w:val="00197DF9"/>
    <w:rsid w:val="001A1987"/>
    <w:rsid w:val="001A2564"/>
    <w:rsid w:val="001A6173"/>
    <w:rsid w:val="001A6CBA"/>
    <w:rsid w:val="001A7B2C"/>
    <w:rsid w:val="001B0D97"/>
    <w:rsid w:val="001B5A5D"/>
    <w:rsid w:val="001C1CE5"/>
    <w:rsid w:val="001C2B30"/>
    <w:rsid w:val="001C3D2A"/>
    <w:rsid w:val="001C401B"/>
    <w:rsid w:val="001C4A60"/>
    <w:rsid w:val="001C69CD"/>
    <w:rsid w:val="001D23E8"/>
    <w:rsid w:val="001D2DC6"/>
    <w:rsid w:val="001D4589"/>
    <w:rsid w:val="001D51BA"/>
    <w:rsid w:val="001D53E7"/>
    <w:rsid w:val="001D6342"/>
    <w:rsid w:val="001D6352"/>
    <w:rsid w:val="001D6D53"/>
    <w:rsid w:val="001E03D5"/>
    <w:rsid w:val="001E58E2"/>
    <w:rsid w:val="001E7AED"/>
    <w:rsid w:val="001F0428"/>
    <w:rsid w:val="001F0870"/>
    <w:rsid w:val="001F0E99"/>
    <w:rsid w:val="001F1610"/>
    <w:rsid w:val="001F26A9"/>
    <w:rsid w:val="001F3916"/>
    <w:rsid w:val="001F3C1F"/>
    <w:rsid w:val="001F54C5"/>
    <w:rsid w:val="001F592F"/>
    <w:rsid w:val="001F662C"/>
    <w:rsid w:val="001F7074"/>
    <w:rsid w:val="00200490"/>
    <w:rsid w:val="00201F3A"/>
    <w:rsid w:val="00202BA5"/>
    <w:rsid w:val="00203668"/>
    <w:rsid w:val="00203F96"/>
    <w:rsid w:val="002041A8"/>
    <w:rsid w:val="002045A6"/>
    <w:rsid w:val="00204688"/>
    <w:rsid w:val="00204F08"/>
    <w:rsid w:val="002069B2"/>
    <w:rsid w:val="00207B26"/>
    <w:rsid w:val="00207FA3"/>
    <w:rsid w:val="00214DA8"/>
    <w:rsid w:val="00215423"/>
    <w:rsid w:val="002158FA"/>
    <w:rsid w:val="00220600"/>
    <w:rsid w:val="002224DB"/>
    <w:rsid w:val="00223A60"/>
    <w:rsid w:val="00223FCB"/>
    <w:rsid w:val="00224D19"/>
    <w:rsid w:val="002252C3"/>
    <w:rsid w:val="00225C54"/>
    <w:rsid w:val="00230765"/>
    <w:rsid w:val="00230D18"/>
    <w:rsid w:val="002319E4"/>
    <w:rsid w:val="00232F5E"/>
    <w:rsid w:val="00235632"/>
    <w:rsid w:val="00235872"/>
    <w:rsid w:val="00237B58"/>
    <w:rsid w:val="00241559"/>
    <w:rsid w:val="00241B75"/>
    <w:rsid w:val="00243063"/>
    <w:rsid w:val="002435B3"/>
    <w:rsid w:val="00245183"/>
    <w:rsid w:val="002458EB"/>
    <w:rsid w:val="00247421"/>
    <w:rsid w:val="002500C8"/>
    <w:rsid w:val="00257543"/>
    <w:rsid w:val="00260EB7"/>
    <w:rsid w:val="002617E7"/>
    <w:rsid w:val="00262901"/>
    <w:rsid w:val="00264228"/>
    <w:rsid w:val="00264334"/>
    <w:rsid w:val="0026473E"/>
    <w:rsid w:val="00266214"/>
    <w:rsid w:val="00266713"/>
    <w:rsid w:val="00267C83"/>
    <w:rsid w:val="0027144F"/>
    <w:rsid w:val="00271480"/>
    <w:rsid w:val="00271813"/>
    <w:rsid w:val="00271F3A"/>
    <w:rsid w:val="00272002"/>
    <w:rsid w:val="00273278"/>
    <w:rsid w:val="002737F4"/>
    <w:rsid w:val="002771EE"/>
    <w:rsid w:val="00277278"/>
    <w:rsid w:val="002805F5"/>
    <w:rsid w:val="00280751"/>
    <w:rsid w:val="0028280A"/>
    <w:rsid w:val="002863BA"/>
    <w:rsid w:val="00286ACD"/>
    <w:rsid w:val="00287632"/>
    <w:rsid w:val="00287838"/>
    <w:rsid w:val="0029063E"/>
    <w:rsid w:val="002907B5"/>
    <w:rsid w:val="00292BA6"/>
    <w:rsid w:val="00292EB7"/>
    <w:rsid w:val="00294F0C"/>
    <w:rsid w:val="00296227"/>
    <w:rsid w:val="00296F44"/>
    <w:rsid w:val="0029777D"/>
    <w:rsid w:val="002A055E"/>
    <w:rsid w:val="002A1D4E"/>
    <w:rsid w:val="002A2869"/>
    <w:rsid w:val="002A500B"/>
    <w:rsid w:val="002A5171"/>
    <w:rsid w:val="002A7AF9"/>
    <w:rsid w:val="002B0F1A"/>
    <w:rsid w:val="002B14B3"/>
    <w:rsid w:val="002B24D6"/>
    <w:rsid w:val="002C41E6"/>
    <w:rsid w:val="002C6939"/>
    <w:rsid w:val="002C7158"/>
    <w:rsid w:val="002D071A"/>
    <w:rsid w:val="002D095B"/>
    <w:rsid w:val="002D1458"/>
    <w:rsid w:val="002D15C1"/>
    <w:rsid w:val="002D331E"/>
    <w:rsid w:val="002D34B2"/>
    <w:rsid w:val="002D48B0"/>
    <w:rsid w:val="002D5B37"/>
    <w:rsid w:val="002D5D2B"/>
    <w:rsid w:val="002D7637"/>
    <w:rsid w:val="002D7C4B"/>
    <w:rsid w:val="002E11E4"/>
    <w:rsid w:val="002E14C1"/>
    <w:rsid w:val="002E17F2"/>
    <w:rsid w:val="002E2BE7"/>
    <w:rsid w:val="002E3FCB"/>
    <w:rsid w:val="002E460A"/>
    <w:rsid w:val="002E4775"/>
    <w:rsid w:val="002E6405"/>
    <w:rsid w:val="002E7CAE"/>
    <w:rsid w:val="002F21D8"/>
    <w:rsid w:val="002F2771"/>
    <w:rsid w:val="002F2FD1"/>
    <w:rsid w:val="002F37A9"/>
    <w:rsid w:val="002F3DDA"/>
    <w:rsid w:val="002F5EEE"/>
    <w:rsid w:val="002F61E6"/>
    <w:rsid w:val="002F7F2A"/>
    <w:rsid w:val="00301CE6"/>
    <w:rsid w:val="0030256B"/>
    <w:rsid w:val="00302819"/>
    <w:rsid w:val="0030501F"/>
    <w:rsid w:val="00305CB2"/>
    <w:rsid w:val="00307643"/>
    <w:rsid w:val="00307BA1"/>
    <w:rsid w:val="003102FC"/>
    <w:rsid w:val="00311702"/>
    <w:rsid w:val="00311E82"/>
    <w:rsid w:val="00313FD6"/>
    <w:rsid w:val="003143BD"/>
    <w:rsid w:val="00315363"/>
    <w:rsid w:val="003169C6"/>
    <w:rsid w:val="003203ED"/>
    <w:rsid w:val="00322C9F"/>
    <w:rsid w:val="00323E31"/>
    <w:rsid w:val="00324D23"/>
    <w:rsid w:val="00331751"/>
    <w:rsid w:val="00332A66"/>
    <w:rsid w:val="00333C58"/>
    <w:rsid w:val="00334579"/>
    <w:rsid w:val="00335858"/>
    <w:rsid w:val="00336BDA"/>
    <w:rsid w:val="0034013D"/>
    <w:rsid w:val="003411C6"/>
    <w:rsid w:val="00342BD7"/>
    <w:rsid w:val="0034601D"/>
    <w:rsid w:val="00346DB5"/>
    <w:rsid w:val="003477B1"/>
    <w:rsid w:val="0035213C"/>
    <w:rsid w:val="0035295F"/>
    <w:rsid w:val="00353CC6"/>
    <w:rsid w:val="003548B8"/>
    <w:rsid w:val="00356E34"/>
    <w:rsid w:val="00357380"/>
    <w:rsid w:val="003602D9"/>
    <w:rsid w:val="003604CE"/>
    <w:rsid w:val="00370563"/>
    <w:rsid w:val="003709BF"/>
    <w:rsid w:val="00370E47"/>
    <w:rsid w:val="0037373B"/>
    <w:rsid w:val="00373885"/>
    <w:rsid w:val="00373BCD"/>
    <w:rsid w:val="003742AC"/>
    <w:rsid w:val="003775BD"/>
    <w:rsid w:val="00377CE1"/>
    <w:rsid w:val="003825A0"/>
    <w:rsid w:val="00384A78"/>
    <w:rsid w:val="00385BF0"/>
    <w:rsid w:val="0039160F"/>
    <w:rsid w:val="003918A6"/>
    <w:rsid w:val="0039194F"/>
    <w:rsid w:val="00392BE3"/>
    <w:rsid w:val="00393578"/>
    <w:rsid w:val="003939FF"/>
    <w:rsid w:val="003964DE"/>
    <w:rsid w:val="003A1D12"/>
    <w:rsid w:val="003A2223"/>
    <w:rsid w:val="003A2A0F"/>
    <w:rsid w:val="003A45A1"/>
    <w:rsid w:val="003A4B47"/>
    <w:rsid w:val="003A5B0A"/>
    <w:rsid w:val="003A6BAC"/>
    <w:rsid w:val="003A70A4"/>
    <w:rsid w:val="003A7EF3"/>
    <w:rsid w:val="003B1383"/>
    <w:rsid w:val="003B159C"/>
    <w:rsid w:val="003B369F"/>
    <w:rsid w:val="003B36A3"/>
    <w:rsid w:val="003B3D42"/>
    <w:rsid w:val="003B5166"/>
    <w:rsid w:val="003B64BB"/>
    <w:rsid w:val="003B66D4"/>
    <w:rsid w:val="003B7BA7"/>
    <w:rsid w:val="003B7FE5"/>
    <w:rsid w:val="003C11C8"/>
    <w:rsid w:val="003C1F41"/>
    <w:rsid w:val="003C2702"/>
    <w:rsid w:val="003C7806"/>
    <w:rsid w:val="003D0CCC"/>
    <w:rsid w:val="003D109F"/>
    <w:rsid w:val="003D2478"/>
    <w:rsid w:val="003D2BDF"/>
    <w:rsid w:val="003D3C45"/>
    <w:rsid w:val="003D4EB6"/>
    <w:rsid w:val="003D5B1F"/>
    <w:rsid w:val="003D6236"/>
    <w:rsid w:val="003E15FA"/>
    <w:rsid w:val="003E2134"/>
    <w:rsid w:val="003E55E4"/>
    <w:rsid w:val="003E74E3"/>
    <w:rsid w:val="003F05C7"/>
    <w:rsid w:val="003F2CD4"/>
    <w:rsid w:val="003F5BD6"/>
    <w:rsid w:val="003F6BBE"/>
    <w:rsid w:val="003F6F2F"/>
    <w:rsid w:val="003F71E6"/>
    <w:rsid w:val="004000E8"/>
    <w:rsid w:val="00400A90"/>
    <w:rsid w:val="00400F26"/>
    <w:rsid w:val="00402E2B"/>
    <w:rsid w:val="00403876"/>
    <w:rsid w:val="0040512B"/>
    <w:rsid w:val="00405CA5"/>
    <w:rsid w:val="00405F91"/>
    <w:rsid w:val="00407072"/>
    <w:rsid w:val="00407CD3"/>
    <w:rsid w:val="00410134"/>
    <w:rsid w:val="00410B72"/>
    <w:rsid w:val="00410F18"/>
    <w:rsid w:val="00411DBC"/>
    <w:rsid w:val="0041263E"/>
    <w:rsid w:val="00412DB2"/>
    <w:rsid w:val="00413AAC"/>
    <w:rsid w:val="00413E92"/>
    <w:rsid w:val="00416441"/>
    <w:rsid w:val="00417CC3"/>
    <w:rsid w:val="0042024B"/>
    <w:rsid w:val="0042094A"/>
    <w:rsid w:val="00421105"/>
    <w:rsid w:val="00421C87"/>
    <w:rsid w:val="00422AA4"/>
    <w:rsid w:val="00423BA7"/>
    <w:rsid w:val="004242F4"/>
    <w:rsid w:val="00425B2E"/>
    <w:rsid w:val="00427248"/>
    <w:rsid w:val="0043387C"/>
    <w:rsid w:val="00435329"/>
    <w:rsid w:val="004353AF"/>
    <w:rsid w:val="00435D57"/>
    <w:rsid w:val="00436C82"/>
    <w:rsid w:val="00437447"/>
    <w:rsid w:val="00441A92"/>
    <w:rsid w:val="004431DC"/>
    <w:rsid w:val="00443553"/>
    <w:rsid w:val="00443B36"/>
    <w:rsid w:val="004441CB"/>
    <w:rsid w:val="0044473A"/>
    <w:rsid w:val="00444F56"/>
    <w:rsid w:val="00445A60"/>
    <w:rsid w:val="00446488"/>
    <w:rsid w:val="004517AA"/>
    <w:rsid w:val="00452CAC"/>
    <w:rsid w:val="00454262"/>
    <w:rsid w:val="004555AF"/>
    <w:rsid w:val="00455651"/>
    <w:rsid w:val="00457565"/>
    <w:rsid w:val="00457B71"/>
    <w:rsid w:val="00462C32"/>
    <w:rsid w:val="00462F8D"/>
    <w:rsid w:val="00463D63"/>
    <w:rsid w:val="004669E2"/>
    <w:rsid w:val="00467D68"/>
    <w:rsid w:val="00470C31"/>
    <w:rsid w:val="00470EBC"/>
    <w:rsid w:val="00471DE0"/>
    <w:rsid w:val="004734D0"/>
    <w:rsid w:val="00473C75"/>
    <w:rsid w:val="00474445"/>
    <w:rsid w:val="0047556B"/>
    <w:rsid w:val="00477768"/>
    <w:rsid w:val="00481CB6"/>
    <w:rsid w:val="004828C0"/>
    <w:rsid w:val="00482E31"/>
    <w:rsid w:val="00483250"/>
    <w:rsid w:val="0049100B"/>
    <w:rsid w:val="00492BC5"/>
    <w:rsid w:val="004964F1"/>
    <w:rsid w:val="004A16BC"/>
    <w:rsid w:val="004A21B3"/>
    <w:rsid w:val="004A2B94"/>
    <w:rsid w:val="004A3A6D"/>
    <w:rsid w:val="004A7A3F"/>
    <w:rsid w:val="004B6F6A"/>
    <w:rsid w:val="004B7C0C"/>
    <w:rsid w:val="004C3898"/>
    <w:rsid w:val="004C7339"/>
    <w:rsid w:val="004D36B1"/>
    <w:rsid w:val="004D618D"/>
    <w:rsid w:val="004D7EBD"/>
    <w:rsid w:val="004E1C47"/>
    <w:rsid w:val="004E2680"/>
    <w:rsid w:val="004E28F9"/>
    <w:rsid w:val="004E3A7D"/>
    <w:rsid w:val="004E462E"/>
    <w:rsid w:val="004E56DC"/>
    <w:rsid w:val="004E66CB"/>
    <w:rsid w:val="004E76F4"/>
    <w:rsid w:val="004F0B4E"/>
    <w:rsid w:val="004F0B6C"/>
    <w:rsid w:val="004F2078"/>
    <w:rsid w:val="004F2B21"/>
    <w:rsid w:val="004F4DA3"/>
    <w:rsid w:val="004F693F"/>
    <w:rsid w:val="005023B3"/>
    <w:rsid w:val="0050245C"/>
    <w:rsid w:val="00504E22"/>
    <w:rsid w:val="005063E3"/>
    <w:rsid w:val="00506557"/>
    <w:rsid w:val="0050677A"/>
    <w:rsid w:val="005108D8"/>
    <w:rsid w:val="005116F9"/>
    <w:rsid w:val="005153A7"/>
    <w:rsid w:val="005161A2"/>
    <w:rsid w:val="00516CE1"/>
    <w:rsid w:val="005219CF"/>
    <w:rsid w:val="00524C85"/>
    <w:rsid w:val="005272BB"/>
    <w:rsid w:val="005273CA"/>
    <w:rsid w:val="00531EEA"/>
    <w:rsid w:val="00534B59"/>
    <w:rsid w:val="0053643B"/>
    <w:rsid w:val="00536759"/>
    <w:rsid w:val="00537C62"/>
    <w:rsid w:val="00537CFA"/>
    <w:rsid w:val="00540DD8"/>
    <w:rsid w:val="00543171"/>
    <w:rsid w:val="00546970"/>
    <w:rsid w:val="005472AC"/>
    <w:rsid w:val="00547E4A"/>
    <w:rsid w:val="00554E19"/>
    <w:rsid w:val="00557664"/>
    <w:rsid w:val="0056121F"/>
    <w:rsid w:val="00561522"/>
    <w:rsid w:val="00561E9A"/>
    <w:rsid w:val="00563B0C"/>
    <w:rsid w:val="00564406"/>
    <w:rsid w:val="005667C4"/>
    <w:rsid w:val="00572505"/>
    <w:rsid w:val="0057391A"/>
    <w:rsid w:val="00582809"/>
    <w:rsid w:val="00582C8D"/>
    <w:rsid w:val="0058457F"/>
    <w:rsid w:val="0058798C"/>
    <w:rsid w:val="005900FA"/>
    <w:rsid w:val="005935A4"/>
    <w:rsid w:val="005948C2"/>
    <w:rsid w:val="00595354"/>
    <w:rsid w:val="00595DCA"/>
    <w:rsid w:val="0059779B"/>
    <w:rsid w:val="005A0506"/>
    <w:rsid w:val="005A209A"/>
    <w:rsid w:val="005A31F6"/>
    <w:rsid w:val="005A662D"/>
    <w:rsid w:val="005B1409"/>
    <w:rsid w:val="005B3251"/>
    <w:rsid w:val="005B35D7"/>
    <w:rsid w:val="005B392A"/>
    <w:rsid w:val="005B3AA3"/>
    <w:rsid w:val="005B414D"/>
    <w:rsid w:val="005B4D82"/>
    <w:rsid w:val="005B60C2"/>
    <w:rsid w:val="005B64AC"/>
    <w:rsid w:val="005B6F83"/>
    <w:rsid w:val="005C74FB"/>
    <w:rsid w:val="005D06D3"/>
    <w:rsid w:val="005D1602"/>
    <w:rsid w:val="005D3FFE"/>
    <w:rsid w:val="005E385F"/>
    <w:rsid w:val="005E5B81"/>
    <w:rsid w:val="005E62EF"/>
    <w:rsid w:val="005F0E29"/>
    <w:rsid w:val="005F2CB1"/>
    <w:rsid w:val="005F3025"/>
    <w:rsid w:val="005F3072"/>
    <w:rsid w:val="005F455B"/>
    <w:rsid w:val="005F4CA4"/>
    <w:rsid w:val="005F57E6"/>
    <w:rsid w:val="005F618C"/>
    <w:rsid w:val="005F650C"/>
    <w:rsid w:val="005F69AC"/>
    <w:rsid w:val="005F70BD"/>
    <w:rsid w:val="006008D4"/>
    <w:rsid w:val="00600B0C"/>
    <w:rsid w:val="0060283C"/>
    <w:rsid w:val="00604F14"/>
    <w:rsid w:val="00605812"/>
    <w:rsid w:val="00606D79"/>
    <w:rsid w:val="00611B83"/>
    <w:rsid w:val="00613257"/>
    <w:rsid w:val="00620157"/>
    <w:rsid w:val="00620A71"/>
    <w:rsid w:val="00620D80"/>
    <w:rsid w:val="006234A6"/>
    <w:rsid w:val="00630001"/>
    <w:rsid w:val="006311B3"/>
    <w:rsid w:val="0063284C"/>
    <w:rsid w:val="0063311D"/>
    <w:rsid w:val="00636398"/>
    <w:rsid w:val="006368D3"/>
    <w:rsid w:val="00636DB4"/>
    <w:rsid w:val="006377EC"/>
    <w:rsid w:val="0064151F"/>
    <w:rsid w:val="00641533"/>
    <w:rsid w:val="0064208D"/>
    <w:rsid w:val="00642836"/>
    <w:rsid w:val="00643475"/>
    <w:rsid w:val="0064396A"/>
    <w:rsid w:val="00644E34"/>
    <w:rsid w:val="006453AC"/>
    <w:rsid w:val="0064624E"/>
    <w:rsid w:val="00650AB9"/>
    <w:rsid w:val="00655733"/>
    <w:rsid w:val="00655746"/>
    <w:rsid w:val="00655ACD"/>
    <w:rsid w:val="00656A92"/>
    <w:rsid w:val="00656DDE"/>
    <w:rsid w:val="0066011D"/>
    <w:rsid w:val="0066068C"/>
    <w:rsid w:val="006607C0"/>
    <w:rsid w:val="00660DAB"/>
    <w:rsid w:val="006613A6"/>
    <w:rsid w:val="006626A4"/>
    <w:rsid w:val="006627A2"/>
    <w:rsid w:val="006634E6"/>
    <w:rsid w:val="006655EE"/>
    <w:rsid w:val="00667EE7"/>
    <w:rsid w:val="00670922"/>
    <w:rsid w:val="00670BE1"/>
    <w:rsid w:val="00671012"/>
    <w:rsid w:val="0067218F"/>
    <w:rsid w:val="006741F2"/>
    <w:rsid w:val="00674CC3"/>
    <w:rsid w:val="00675C72"/>
    <w:rsid w:val="006771F9"/>
    <w:rsid w:val="006776D7"/>
    <w:rsid w:val="00680D94"/>
    <w:rsid w:val="00680DFA"/>
    <w:rsid w:val="00681003"/>
    <w:rsid w:val="006817C9"/>
    <w:rsid w:val="006833A3"/>
    <w:rsid w:val="00683ECE"/>
    <w:rsid w:val="00686AA7"/>
    <w:rsid w:val="00686BBC"/>
    <w:rsid w:val="00690712"/>
    <w:rsid w:val="00695FC2"/>
    <w:rsid w:val="00696949"/>
    <w:rsid w:val="00697052"/>
    <w:rsid w:val="006A1278"/>
    <w:rsid w:val="006A46FB"/>
    <w:rsid w:val="006A5E28"/>
    <w:rsid w:val="006A67C3"/>
    <w:rsid w:val="006A697B"/>
    <w:rsid w:val="006A7AFF"/>
    <w:rsid w:val="006B0262"/>
    <w:rsid w:val="006B06CB"/>
    <w:rsid w:val="006B1816"/>
    <w:rsid w:val="006B2099"/>
    <w:rsid w:val="006B25AD"/>
    <w:rsid w:val="006B3E91"/>
    <w:rsid w:val="006B4E1A"/>
    <w:rsid w:val="006B50CF"/>
    <w:rsid w:val="006B5163"/>
    <w:rsid w:val="006C03B8"/>
    <w:rsid w:val="006C2C1B"/>
    <w:rsid w:val="006C5EC9"/>
    <w:rsid w:val="006C6059"/>
    <w:rsid w:val="006C7522"/>
    <w:rsid w:val="006C7E58"/>
    <w:rsid w:val="006D0EBE"/>
    <w:rsid w:val="006D2D2F"/>
    <w:rsid w:val="006D4171"/>
    <w:rsid w:val="006D523E"/>
    <w:rsid w:val="006D6135"/>
    <w:rsid w:val="006D61E3"/>
    <w:rsid w:val="006D6F08"/>
    <w:rsid w:val="006E062C"/>
    <w:rsid w:val="006E1C82"/>
    <w:rsid w:val="006E264B"/>
    <w:rsid w:val="006E28B7"/>
    <w:rsid w:val="006E2A9B"/>
    <w:rsid w:val="006E3310"/>
    <w:rsid w:val="006E4E39"/>
    <w:rsid w:val="006E565E"/>
    <w:rsid w:val="006E673D"/>
    <w:rsid w:val="006E74C3"/>
    <w:rsid w:val="006E7D3B"/>
    <w:rsid w:val="006F1B70"/>
    <w:rsid w:val="006F20FD"/>
    <w:rsid w:val="006F341D"/>
    <w:rsid w:val="006F38AA"/>
    <w:rsid w:val="006F3CDE"/>
    <w:rsid w:val="006F4BC1"/>
    <w:rsid w:val="006F58D4"/>
    <w:rsid w:val="006F6582"/>
    <w:rsid w:val="006F6F4D"/>
    <w:rsid w:val="007007CA"/>
    <w:rsid w:val="00703305"/>
    <w:rsid w:val="0070346E"/>
    <w:rsid w:val="00704EDB"/>
    <w:rsid w:val="00706101"/>
    <w:rsid w:val="00707072"/>
    <w:rsid w:val="00707D61"/>
    <w:rsid w:val="00710157"/>
    <w:rsid w:val="00712287"/>
    <w:rsid w:val="00712772"/>
    <w:rsid w:val="007148BE"/>
    <w:rsid w:val="007148D3"/>
    <w:rsid w:val="00715B9A"/>
    <w:rsid w:val="00715FA7"/>
    <w:rsid w:val="007202D9"/>
    <w:rsid w:val="007217FE"/>
    <w:rsid w:val="007231C0"/>
    <w:rsid w:val="00724C91"/>
    <w:rsid w:val="0072525F"/>
    <w:rsid w:val="007257D0"/>
    <w:rsid w:val="00726EA6"/>
    <w:rsid w:val="00727208"/>
    <w:rsid w:val="0072746A"/>
    <w:rsid w:val="00727680"/>
    <w:rsid w:val="00732CDB"/>
    <w:rsid w:val="007348B1"/>
    <w:rsid w:val="00735DE2"/>
    <w:rsid w:val="007362A6"/>
    <w:rsid w:val="00736D7D"/>
    <w:rsid w:val="00740E58"/>
    <w:rsid w:val="007411BD"/>
    <w:rsid w:val="00742ED6"/>
    <w:rsid w:val="007434E1"/>
    <w:rsid w:val="007445A0"/>
    <w:rsid w:val="0074524B"/>
    <w:rsid w:val="00747D8B"/>
    <w:rsid w:val="007506A2"/>
    <w:rsid w:val="00751228"/>
    <w:rsid w:val="00753D8B"/>
    <w:rsid w:val="0075718C"/>
    <w:rsid w:val="007571E1"/>
    <w:rsid w:val="00757A16"/>
    <w:rsid w:val="007604B2"/>
    <w:rsid w:val="00760D2A"/>
    <w:rsid w:val="00764CC8"/>
    <w:rsid w:val="00765281"/>
    <w:rsid w:val="00765551"/>
    <w:rsid w:val="007668EA"/>
    <w:rsid w:val="00766BAD"/>
    <w:rsid w:val="0076732B"/>
    <w:rsid w:val="0077224F"/>
    <w:rsid w:val="007729A2"/>
    <w:rsid w:val="00774AE9"/>
    <w:rsid w:val="007755F2"/>
    <w:rsid w:val="00776971"/>
    <w:rsid w:val="00776D94"/>
    <w:rsid w:val="00780A80"/>
    <w:rsid w:val="0078177E"/>
    <w:rsid w:val="0078304C"/>
    <w:rsid w:val="007831A7"/>
    <w:rsid w:val="00783673"/>
    <w:rsid w:val="00784F0D"/>
    <w:rsid w:val="00785490"/>
    <w:rsid w:val="00785697"/>
    <w:rsid w:val="00787EAF"/>
    <w:rsid w:val="00791415"/>
    <w:rsid w:val="007925EA"/>
    <w:rsid w:val="00793CD8"/>
    <w:rsid w:val="00795C92"/>
    <w:rsid w:val="00796231"/>
    <w:rsid w:val="007A1CB3"/>
    <w:rsid w:val="007A306F"/>
    <w:rsid w:val="007A43A6"/>
    <w:rsid w:val="007A58A6"/>
    <w:rsid w:val="007A64C1"/>
    <w:rsid w:val="007A743D"/>
    <w:rsid w:val="007B3D2D"/>
    <w:rsid w:val="007B4DF0"/>
    <w:rsid w:val="007B50AE"/>
    <w:rsid w:val="007B51DF"/>
    <w:rsid w:val="007C05DD"/>
    <w:rsid w:val="007C0B50"/>
    <w:rsid w:val="007C1C72"/>
    <w:rsid w:val="007C3D18"/>
    <w:rsid w:val="007C60BF"/>
    <w:rsid w:val="007C6A07"/>
    <w:rsid w:val="007C75A1"/>
    <w:rsid w:val="007C77A5"/>
    <w:rsid w:val="007D04E5"/>
    <w:rsid w:val="007D4101"/>
    <w:rsid w:val="007D5901"/>
    <w:rsid w:val="007D5BCA"/>
    <w:rsid w:val="007D7526"/>
    <w:rsid w:val="007E15AE"/>
    <w:rsid w:val="007E21EA"/>
    <w:rsid w:val="007E4610"/>
    <w:rsid w:val="007E4715"/>
    <w:rsid w:val="007E505B"/>
    <w:rsid w:val="007E5181"/>
    <w:rsid w:val="007E7091"/>
    <w:rsid w:val="007F02D3"/>
    <w:rsid w:val="007F5437"/>
    <w:rsid w:val="007F550F"/>
    <w:rsid w:val="00803FAE"/>
    <w:rsid w:val="00805630"/>
    <w:rsid w:val="0080605F"/>
    <w:rsid w:val="00807786"/>
    <w:rsid w:val="008105F6"/>
    <w:rsid w:val="00811FCB"/>
    <w:rsid w:val="00813A27"/>
    <w:rsid w:val="00813E92"/>
    <w:rsid w:val="008147E0"/>
    <w:rsid w:val="008158D6"/>
    <w:rsid w:val="00817196"/>
    <w:rsid w:val="008223B8"/>
    <w:rsid w:val="0082319B"/>
    <w:rsid w:val="008235DB"/>
    <w:rsid w:val="00823B44"/>
    <w:rsid w:val="00824AB4"/>
    <w:rsid w:val="00825C42"/>
    <w:rsid w:val="00825D25"/>
    <w:rsid w:val="00827D6F"/>
    <w:rsid w:val="00834A3C"/>
    <w:rsid w:val="00834D88"/>
    <w:rsid w:val="00836A4C"/>
    <w:rsid w:val="008376AC"/>
    <w:rsid w:val="00840414"/>
    <w:rsid w:val="00840627"/>
    <w:rsid w:val="008444E8"/>
    <w:rsid w:val="00844E80"/>
    <w:rsid w:val="00846FE7"/>
    <w:rsid w:val="00856911"/>
    <w:rsid w:val="008571FF"/>
    <w:rsid w:val="00862E39"/>
    <w:rsid w:val="00863691"/>
    <w:rsid w:val="00864805"/>
    <w:rsid w:val="008677FD"/>
    <w:rsid w:val="008706D4"/>
    <w:rsid w:val="00870F8A"/>
    <w:rsid w:val="008719A4"/>
    <w:rsid w:val="00871D23"/>
    <w:rsid w:val="00874312"/>
    <w:rsid w:val="0087437C"/>
    <w:rsid w:val="00875CD7"/>
    <w:rsid w:val="008761CD"/>
    <w:rsid w:val="00876B4D"/>
    <w:rsid w:val="00877F18"/>
    <w:rsid w:val="008810D3"/>
    <w:rsid w:val="00886FEB"/>
    <w:rsid w:val="00887A0E"/>
    <w:rsid w:val="00892E99"/>
    <w:rsid w:val="008941E3"/>
    <w:rsid w:val="00894A88"/>
    <w:rsid w:val="00895386"/>
    <w:rsid w:val="008A037D"/>
    <w:rsid w:val="008A0D15"/>
    <w:rsid w:val="008A21FF"/>
    <w:rsid w:val="008A2CE2"/>
    <w:rsid w:val="008A30AC"/>
    <w:rsid w:val="008A44B8"/>
    <w:rsid w:val="008A51A8"/>
    <w:rsid w:val="008A54C7"/>
    <w:rsid w:val="008A5AD7"/>
    <w:rsid w:val="008A77D8"/>
    <w:rsid w:val="008B0483"/>
    <w:rsid w:val="008B120C"/>
    <w:rsid w:val="008B1355"/>
    <w:rsid w:val="008B51A0"/>
    <w:rsid w:val="008B592A"/>
    <w:rsid w:val="008B5F03"/>
    <w:rsid w:val="008B7B5C"/>
    <w:rsid w:val="008C0C99"/>
    <w:rsid w:val="008C0CD1"/>
    <w:rsid w:val="008C2017"/>
    <w:rsid w:val="008C424A"/>
    <w:rsid w:val="008C4958"/>
    <w:rsid w:val="008C4BAA"/>
    <w:rsid w:val="008C5B06"/>
    <w:rsid w:val="008C6AE8"/>
    <w:rsid w:val="008C7573"/>
    <w:rsid w:val="008D00A5"/>
    <w:rsid w:val="008D34F1"/>
    <w:rsid w:val="008D39D8"/>
    <w:rsid w:val="008D3FA4"/>
    <w:rsid w:val="008D5257"/>
    <w:rsid w:val="008D6D1A"/>
    <w:rsid w:val="008E065E"/>
    <w:rsid w:val="008E0927"/>
    <w:rsid w:val="008E18F5"/>
    <w:rsid w:val="008E1909"/>
    <w:rsid w:val="008E264E"/>
    <w:rsid w:val="008E5E02"/>
    <w:rsid w:val="008E784A"/>
    <w:rsid w:val="008F14C7"/>
    <w:rsid w:val="008F1EAB"/>
    <w:rsid w:val="008F33DC"/>
    <w:rsid w:val="008F477F"/>
    <w:rsid w:val="00902350"/>
    <w:rsid w:val="0090336B"/>
    <w:rsid w:val="009053AA"/>
    <w:rsid w:val="0090601B"/>
    <w:rsid w:val="00906939"/>
    <w:rsid w:val="00910B7D"/>
    <w:rsid w:val="00910E29"/>
    <w:rsid w:val="00911565"/>
    <w:rsid w:val="00911DFB"/>
    <w:rsid w:val="009139D9"/>
    <w:rsid w:val="00914AD8"/>
    <w:rsid w:val="00916079"/>
    <w:rsid w:val="009163E6"/>
    <w:rsid w:val="00917CE9"/>
    <w:rsid w:val="00920BF2"/>
    <w:rsid w:val="00922010"/>
    <w:rsid w:val="009240E3"/>
    <w:rsid w:val="00931BD9"/>
    <w:rsid w:val="0093498D"/>
    <w:rsid w:val="009368F3"/>
    <w:rsid w:val="0093708C"/>
    <w:rsid w:val="00941636"/>
    <w:rsid w:val="009433CC"/>
    <w:rsid w:val="00943742"/>
    <w:rsid w:val="00945C05"/>
    <w:rsid w:val="00946945"/>
    <w:rsid w:val="00947713"/>
    <w:rsid w:val="00950098"/>
    <w:rsid w:val="00950424"/>
    <w:rsid w:val="00950DE7"/>
    <w:rsid w:val="00951CF9"/>
    <w:rsid w:val="00951E93"/>
    <w:rsid w:val="00953114"/>
    <w:rsid w:val="00953920"/>
    <w:rsid w:val="00953D47"/>
    <w:rsid w:val="00953DAB"/>
    <w:rsid w:val="0095681E"/>
    <w:rsid w:val="009572D4"/>
    <w:rsid w:val="00961921"/>
    <w:rsid w:val="0096430A"/>
    <w:rsid w:val="009651C6"/>
    <w:rsid w:val="0096554B"/>
    <w:rsid w:val="0096584A"/>
    <w:rsid w:val="0097087D"/>
    <w:rsid w:val="00971F08"/>
    <w:rsid w:val="0097603D"/>
    <w:rsid w:val="00976949"/>
    <w:rsid w:val="00980477"/>
    <w:rsid w:val="00981BC4"/>
    <w:rsid w:val="00984B82"/>
    <w:rsid w:val="00985253"/>
    <w:rsid w:val="009853B3"/>
    <w:rsid w:val="00990630"/>
    <w:rsid w:val="00991761"/>
    <w:rsid w:val="00992543"/>
    <w:rsid w:val="009932C5"/>
    <w:rsid w:val="00993C83"/>
    <w:rsid w:val="009942BE"/>
    <w:rsid w:val="00994DCA"/>
    <w:rsid w:val="00995D23"/>
    <w:rsid w:val="009960EC"/>
    <w:rsid w:val="009970DD"/>
    <w:rsid w:val="00997781"/>
    <w:rsid w:val="009A0FBA"/>
    <w:rsid w:val="009A1601"/>
    <w:rsid w:val="009A3BB6"/>
    <w:rsid w:val="009A3DB5"/>
    <w:rsid w:val="009A462D"/>
    <w:rsid w:val="009A5CBA"/>
    <w:rsid w:val="009A7523"/>
    <w:rsid w:val="009B1E05"/>
    <w:rsid w:val="009B1F30"/>
    <w:rsid w:val="009B3278"/>
    <w:rsid w:val="009B3AC2"/>
    <w:rsid w:val="009B3BA7"/>
    <w:rsid w:val="009B42C0"/>
    <w:rsid w:val="009B4DF4"/>
    <w:rsid w:val="009B564E"/>
    <w:rsid w:val="009B7E87"/>
    <w:rsid w:val="009C0169"/>
    <w:rsid w:val="009C403E"/>
    <w:rsid w:val="009C41E3"/>
    <w:rsid w:val="009C439C"/>
    <w:rsid w:val="009D0798"/>
    <w:rsid w:val="009D17B9"/>
    <w:rsid w:val="009D4FF0"/>
    <w:rsid w:val="009D703C"/>
    <w:rsid w:val="009D718F"/>
    <w:rsid w:val="009E068F"/>
    <w:rsid w:val="009E14E0"/>
    <w:rsid w:val="009E35DB"/>
    <w:rsid w:val="009E3715"/>
    <w:rsid w:val="009E3B3E"/>
    <w:rsid w:val="009E47A3"/>
    <w:rsid w:val="009F08F3"/>
    <w:rsid w:val="009F0F61"/>
    <w:rsid w:val="009F125C"/>
    <w:rsid w:val="009F3436"/>
    <w:rsid w:val="009F344F"/>
    <w:rsid w:val="009F41A0"/>
    <w:rsid w:val="009F4CE5"/>
    <w:rsid w:val="009F5F4A"/>
    <w:rsid w:val="009F72E3"/>
    <w:rsid w:val="00A031D8"/>
    <w:rsid w:val="00A03640"/>
    <w:rsid w:val="00A036F9"/>
    <w:rsid w:val="00A048A8"/>
    <w:rsid w:val="00A04F49"/>
    <w:rsid w:val="00A06709"/>
    <w:rsid w:val="00A06D64"/>
    <w:rsid w:val="00A10909"/>
    <w:rsid w:val="00A12BC0"/>
    <w:rsid w:val="00A13718"/>
    <w:rsid w:val="00A13E54"/>
    <w:rsid w:val="00A1760B"/>
    <w:rsid w:val="00A17F63"/>
    <w:rsid w:val="00A21195"/>
    <w:rsid w:val="00A2193B"/>
    <w:rsid w:val="00A21D3C"/>
    <w:rsid w:val="00A2351A"/>
    <w:rsid w:val="00A25830"/>
    <w:rsid w:val="00A264A9"/>
    <w:rsid w:val="00A26DCF"/>
    <w:rsid w:val="00A27785"/>
    <w:rsid w:val="00A30187"/>
    <w:rsid w:val="00A3448A"/>
    <w:rsid w:val="00A34D5F"/>
    <w:rsid w:val="00A36297"/>
    <w:rsid w:val="00A4016F"/>
    <w:rsid w:val="00A41E2B"/>
    <w:rsid w:val="00A45B74"/>
    <w:rsid w:val="00A47DC5"/>
    <w:rsid w:val="00A52E18"/>
    <w:rsid w:val="00A52E1D"/>
    <w:rsid w:val="00A562B6"/>
    <w:rsid w:val="00A569DF"/>
    <w:rsid w:val="00A56DA8"/>
    <w:rsid w:val="00A57D67"/>
    <w:rsid w:val="00A6083C"/>
    <w:rsid w:val="00A61499"/>
    <w:rsid w:val="00A62A77"/>
    <w:rsid w:val="00A63483"/>
    <w:rsid w:val="00A657D7"/>
    <w:rsid w:val="00A65CF7"/>
    <w:rsid w:val="00A660AC"/>
    <w:rsid w:val="00A67E6C"/>
    <w:rsid w:val="00A71B99"/>
    <w:rsid w:val="00A71DAA"/>
    <w:rsid w:val="00A739D0"/>
    <w:rsid w:val="00A73D0B"/>
    <w:rsid w:val="00A761D4"/>
    <w:rsid w:val="00A77E7C"/>
    <w:rsid w:val="00A77EC4"/>
    <w:rsid w:val="00A80197"/>
    <w:rsid w:val="00A8215F"/>
    <w:rsid w:val="00A92879"/>
    <w:rsid w:val="00A9442A"/>
    <w:rsid w:val="00AA016F"/>
    <w:rsid w:val="00AA1ED6"/>
    <w:rsid w:val="00AA38B5"/>
    <w:rsid w:val="00AA51D6"/>
    <w:rsid w:val="00AA5776"/>
    <w:rsid w:val="00AB0A49"/>
    <w:rsid w:val="00AB0BC8"/>
    <w:rsid w:val="00AB11CA"/>
    <w:rsid w:val="00AB14D9"/>
    <w:rsid w:val="00AB2744"/>
    <w:rsid w:val="00AB4AB8"/>
    <w:rsid w:val="00AB655E"/>
    <w:rsid w:val="00AC007F"/>
    <w:rsid w:val="00AC0270"/>
    <w:rsid w:val="00AC05D7"/>
    <w:rsid w:val="00AC16C3"/>
    <w:rsid w:val="00AC2ECD"/>
    <w:rsid w:val="00AC3119"/>
    <w:rsid w:val="00AC3F80"/>
    <w:rsid w:val="00AC49FB"/>
    <w:rsid w:val="00AC5A10"/>
    <w:rsid w:val="00AD0AA3"/>
    <w:rsid w:val="00AD3F94"/>
    <w:rsid w:val="00AD4A5A"/>
    <w:rsid w:val="00AD6951"/>
    <w:rsid w:val="00AE1D7A"/>
    <w:rsid w:val="00AE244A"/>
    <w:rsid w:val="00AE2735"/>
    <w:rsid w:val="00AE27AC"/>
    <w:rsid w:val="00AE40E0"/>
    <w:rsid w:val="00AE40E7"/>
    <w:rsid w:val="00AE4699"/>
    <w:rsid w:val="00AE4DBA"/>
    <w:rsid w:val="00AE4F07"/>
    <w:rsid w:val="00AF1129"/>
    <w:rsid w:val="00AF1C5D"/>
    <w:rsid w:val="00AF2CBA"/>
    <w:rsid w:val="00AF42D7"/>
    <w:rsid w:val="00AF747B"/>
    <w:rsid w:val="00B00228"/>
    <w:rsid w:val="00B006FE"/>
    <w:rsid w:val="00B007CB"/>
    <w:rsid w:val="00B02AA9"/>
    <w:rsid w:val="00B02FA3"/>
    <w:rsid w:val="00B03AA1"/>
    <w:rsid w:val="00B05084"/>
    <w:rsid w:val="00B07C5B"/>
    <w:rsid w:val="00B100A8"/>
    <w:rsid w:val="00B11725"/>
    <w:rsid w:val="00B13DFF"/>
    <w:rsid w:val="00B157F9"/>
    <w:rsid w:val="00B16922"/>
    <w:rsid w:val="00B17D58"/>
    <w:rsid w:val="00B20256"/>
    <w:rsid w:val="00B20D09"/>
    <w:rsid w:val="00B21BE2"/>
    <w:rsid w:val="00B26F0C"/>
    <w:rsid w:val="00B2763F"/>
    <w:rsid w:val="00B27AAC"/>
    <w:rsid w:val="00B30929"/>
    <w:rsid w:val="00B30A5C"/>
    <w:rsid w:val="00B3109F"/>
    <w:rsid w:val="00B372AA"/>
    <w:rsid w:val="00B40445"/>
    <w:rsid w:val="00B409E0"/>
    <w:rsid w:val="00B41888"/>
    <w:rsid w:val="00B41E35"/>
    <w:rsid w:val="00B441CD"/>
    <w:rsid w:val="00B4461D"/>
    <w:rsid w:val="00B458E2"/>
    <w:rsid w:val="00B45A52"/>
    <w:rsid w:val="00B46175"/>
    <w:rsid w:val="00B548B7"/>
    <w:rsid w:val="00B61925"/>
    <w:rsid w:val="00B65DFD"/>
    <w:rsid w:val="00B664C7"/>
    <w:rsid w:val="00B70B4E"/>
    <w:rsid w:val="00B72C35"/>
    <w:rsid w:val="00B739F6"/>
    <w:rsid w:val="00B74677"/>
    <w:rsid w:val="00B809B5"/>
    <w:rsid w:val="00B814F4"/>
    <w:rsid w:val="00B81A6C"/>
    <w:rsid w:val="00B85ABC"/>
    <w:rsid w:val="00B85DE5"/>
    <w:rsid w:val="00B87C76"/>
    <w:rsid w:val="00B90F73"/>
    <w:rsid w:val="00B93827"/>
    <w:rsid w:val="00B93B59"/>
    <w:rsid w:val="00B9406A"/>
    <w:rsid w:val="00B9550E"/>
    <w:rsid w:val="00B975CC"/>
    <w:rsid w:val="00BA2280"/>
    <w:rsid w:val="00BA2A08"/>
    <w:rsid w:val="00BA2D1B"/>
    <w:rsid w:val="00BA427C"/>
    <w:rsid w:val="00BA56D2"/>
    <w:rsid w:val="00BA6698"/>
    <w:rsid w:val="00BA76E0"/>
    <w:rsid w:val="00BB2A25"/>
    <w:rsid w:val="00BB51E9"/>
    <w:rsid w:val="00BB6031"/>
    <w:rsid w:val="00BC0FDC"/>
    <w:rsid w:val="00BC3053"/>
    <w:rsid w:val="00BC34F7"/>
    <w:rsid w:val="00BC4D2E"/>
    <w:rsid w:val="00BD4307"/>
    <w:rsid w:val="00BD48AC"/>
    <w:rsid w:val="00BD5F1A"/>
    <w:rsid w:val="00BD5FAE"/>
    <w:rsid w:val="00BD66C7"/>
    <w:rsid w:val="00BD6708"/>
    <w:rsid w:val="00BD7892"/>
    <w:rsid w:val="00BE1234"/>
    <w:rsid w:val="00BE2168"/>
    <w:rsid w:val="00BE2FA6"/>
    <w:rsid w:val="00BE333F"/>
    <w:rsid w:val="00BE7406"/>
    <w:rsid w:val="00BE7603"/>
    <w:rsid w:val="00BF2925"/>
    <w:rsid w:val="00BF3279"/>
    <w:rsid w:val="00BF4C5D"/>
    <w:rsid w:val="00BF5620"/>
    <w:rsid w:val="00BF74C7"/>
    <w:rsid w:val="00C007AC"/>
    <w:rsid w:val="00C015F1"/>
    <w:rsid w:val="00C01F33"/>
    <w:rsid w:val="00C02CC6"/>
    <w:rsid w:val="00C040F7"/>
    <w:rsid w:val="00C044AB"/>
    <w:rsid w:val="00C05706"/>
    <w:rsid w:val="00C064EE"/>
    <w:rsid w:val="00C066E2"/>
    <w:rsid w:val="00C07377"/>
    <w:rsid w:val="00C10478"/>
    <w:rsid w:val="00C10946"/>
    <w:rsid w:val="00C117DB"/>
    <w:rsid w:val="00C12077"/>
    <w:rsid w:val="00C12107"/>
    <w:rsid w:val="00C13C37"/>
    <w:rsid w:val="00C14D4B"/>
    <w:rsid w:val="00C154BB"/>
    <w:rsid w:val="00C268E6"/>
    <w:rsid w:val="00C279B5"/>
    <w:rsid w:val="00C27C45"/>
    <w:rsid w:val="00C30F91"/>
    <w:rsid w:val="00C3719D"/>
    <w:rsid w:val="00C37CB2"/>
    <w:rsid w:val="00C37E75"/>
    <w:rsid w:val="00C4235B"/>
    <w:rsid w:val="00C431DC"/>
    <w:rsid w:val="00C473A5"/>
    <w:rsid w:val="00C501CD"/>
    <w:rsid w:val="00C51989"/>
    <w:rsid w:val="00C525BA"/>
    <w:rsid w:val="00C54995"/>
    <w:rsid w:val="00C54D41"/>
    <w:rsid w:val="00C56388"/>
    <w:rsid w:val="00C60783"/>
    <w:rsid w:val="00C60A8F"/>
    <w:rsid w:val="00C64672"/>
    <w:rsid w:val="00C70697"/>
    <w:rsid w:val="00C72093"/>
    <w:rsid w:val="00C72EF4"/>
    <w:rsid w:val="00C740DC"/>
    <w:rsid w:val="00C744FE"/>
    <w:rsid w:val="00C75D2F"/>
    <w:rsid w:val="00C767BE"/>
    <w:rsid w:val="00C76E3C"/>
    <w:rsid w:val="00C8007B"/>
    <w:rsid w:val="00C81568"/>
    <w:rsid w:val="00C81BB8"/>
    <w:rsid w:val="00C8429E"/>
    <w:rsid w:val="00C87CEB"/>
    <w:rsid w:val="00C87DA7"/>
    <w:rsid w:val="00C9027A"/>
    <w:rsid w:val="00C9068E"/>
    <w:rsid w:val="00C9138B"/>
    <w:rsid w:val="00C920D9"/>
    <w:rsid w:val="00C93814"/>
    <w:rsid w:val="00C93C4B"/>
    <w:rsid w:val="00C944AB"/>
    <w:rsid w:val="00C95B40"/>
    <w:rsid w:val="00CA1DE6"/>
    <w:rsid w:val="00CA1ED8"/>
    <w:rsid w:val="00CA2060"/>
    <w:rsid w:val="00CA4B98"/>
    <w:rsid w:val="00CA62D0"/>
    <w:rsid w:val="00CB1F63"/>
    <w:rsid w:val="00CB6840"/>
    <w:rsid w:val="00CB7170"/>
    <w:rsid w:val="00CC040E"/>
    <w:rsid w:val="00CC111F"/>
    <w:rsid w:val="00CC2011"/>
    <w:rsid w:val="00CC3EA0"/>
    <w:rsid w:val="00CC7B45"/>
    <w:rsid w:val="00CD1188"/>
    <w:rsid w:val="00CD2ED1"/>
    <w:rsid w:val="00CD337B"/>
    <w:rsid w:val="00CE0424"/>
    <w:rsid w:val="00CE09BB"/>
    <w:rsid w:val="00CE3DC0"/>
    <w:rsid w:val="00CE455A"/>
    <w:rsid w:val="00CE6E07"/>
    <w:rsid w:val="00CE7561"/>
    <w:rsid w:val="00CF019B"/>
    <w:rsid w:val="00CF1354"/>
    <w:rsid w:val="00CF3B1F"/>
    <w:rsid w:val="00CF3BF6"/>
    <w:rsid w:val="00CF4AC3"/>
    <w:rsid w:val="00CF5D92"/>
    <w:rsid w:val="00CF625B"/>
    <w:rsid w:val="00CF687E"/>
    <w:rsid w:val="00D02447"/>
    <w:rsid w:val="00D0349B"/>
    <w:rsid w:val="00D066F1"/>
    <w:rsid w:val="00D06A88"/>
    <w:rsid w:val="00D10249"/>
    <w:rsid w:val="00D115C3"/>
    <w:rsid w:val="00D11897"/>
    <w:rsid w:val="00D118F5"/>
    <w:rsid w:val="00D13135"/>
    <w:rsid w:val="00D13E4E"/>
    <w:rsid w:val="00D14036"/>
    <w:rsid w:val="00D166BB"/>
    <w:rsid w:val="00D17847"/>
    <w:rsid w:val="00D239A7"/>
    <w:rsid w:val="00D23F47"/>
    <w:rsid w:val="00D31107"/>
    <w:rsid w:val="00D323AB"/>
    <w:rsid w:val="00D34F75"/>
    <w:rsid w:val="00D36E71"/>
    <w:rsid w:val="00D37D87"/>
    <w:rsid w:val="00D40B33"/>
    <w:rsid w:val="00D4318F"/>
    <w:rsid w:val="00D43684"/>
    <w:rsid w:val="00D438BF"/>
    <w:rsid w:val="00D440F8"/>
    <w:rsid w:val="00D450CF"/>
    <w:rsid w:val="00D45579"/>
    <w:rsid w:val="00D502A6"/>
    <w:rsid w:val="00D511BA"/>
    <w:rsid w:val="00D54556"/>
    <w:rsid w:val="00D546FF"/>
    <w:rsid w:val="00D54B7D"/>
    <w:rsid w:val="00D55AD5"/>
    <w:rsid w:val="00D571FB"/>
    <w:rsid w:val="00D576CA"/>
    <w:rsid w:val="00D60DF4"/>
    <w:rsid w:val="00D61AF5"/>
    <w:rsid w:val="00D64221"/>
    <w:rsid w:val="00D652B5"/>
    <w:rsid w:val="00D65F1A"/>
    <w:rsid w:val="00D66155"/>
    <w:rsid w:val="00D66DEF"/>
    <w:rsid w:val="00D67BD7"/>
    <w:rsid w:val="00D708B0"/>
    <w:rsid w:val="00D732D7"/>
    <w:rsid w:val="00D74F31"/>
    <w:rsid w:val="00D77B1D"/>
    <w:rsid w:val="00D8021F"/>
    <w:rsid w:val="00D80383"/>
    <w:rsid w:val="00D8177E"/>
    <w:rsid w:val="00D823C6"/>
    <w:rsid w:val="00D8327F"/>
    <w:rsid w:val="00D86725"/>
    <w:rsid w:val="00D86CA3"/>
    <w:rsid w:val="00D871CE"/>
    <w:rsid w:val="00D9196D"/>
    <w:rsid w:val="00D92982"/>
    <w:rsid w:val="00D94614"/>
    <w:rsid w:val="00D97217"/>
    <w:rsid w:val="00D97844"/>
    <w:rsid w:val="00DA0DE0"/>
    <w:rsid w:val="00DA17A4"/>
    <w:rsid w:val="00DA2AE0"/>
    <w:rsid w:val="00DA305E"/>
    <w:rsid w:val="00DA3A8E"/>
    <w:rsid w:val="00DA5417"/>
    <w:rsid w:val="00DA56A3"/>
    <w:rsid w:val="00DA56E8"/>
    <w:rsid w:val="00DA5752"/>
    <w:rsid w:val="00DB0A9F"/>
    <w:rsid w:val="00DB377D"/>
    <w:rsid w:val="00DB4150"/>
    <w:rsid w:val="00DB7187"/>
    <w:rsid w:val="00DB768D"/>
    <w:rsid w:val="00DC2D36"/>
    <w:rsid w:val="00DC4545"/>
    <w:rsid w:val="00DC53EF"/>
    <w:rsid w:val="00DC59B5"/>
    <w:rsid w:val="00DC622F"/>
    <w:rsid w:val="00DD0DC5"/>
    <w:rsid w:val="00DD7CFB"/>
    <w:rsid w:val="00DE2001"/>
    <w:rsid w:val="00DE36FF"/>
    <w:rsid w:val="00DE5608"/>
    <w:rsid w:val="00DE58D0"/>
    <w:rsid w:val="00DE654F"/>
    <w:rsid w:val="00DE7FF4"/>
    <w:rsid w:val="00DF03F3"/>
    <w:rsid w:val="00DF0B6E"/>
    <w:rsid w:val="00DF15E0"/>
    <w:rsid w:val="00DF37A0"/>
    <w:rsid w:val="00DF4B0B"/>
    <w:rsid w:val="00DF7624"/>
    <w:rsid w:val="00E01807"/>
    <w:rsid w:val="00E02D75"/>
    <w:rsid w:val="00E03BC4"/>
    <w:rsid w:val="00E0788A"/>
    <w:rsid w:val="00E10742"/>
    <w:rsid w:val="00E10DF0"/>
    <w:rsid w:val="00E110E7"/>
    <w:rsid w:val="00E11B20"/>
    <w:rsid w:val="00E12C94"/>
    <w:rsid w:val="00E12CEE"/>
    <w:rsid w:val="00E13419"/>
    <w:rsid w:val="00E166D3"/>
    <w:rsid w:val="00E172F6"/>
    <w:rsid w:val="00E17FA2"/>
    <w:rsid w:val="00E22330"/>
    <w:rsid w:val="00E22723"/>
    <w:rsid w:val="00E26A9E"/>
    <w:rsid w:val="00E27DF2"/>
    <w:rsid w:val="00E30B5A"/>
    <w:rsid w:val="00E3123D"/>
    <w:rsid w:val="00E312E7"/>
    <w:rsid w:val="00E31461"/>
    <w:rsid w:val="00E31D43"/>
    <w:rsid w:val="00E32608"/>
    <w:rsid w:val="00E3272F"/>
    <w:rsid w:val="00E3306A"/>
    <w:rsid w:val="00E330C2"/>
    <w:rsid w:val="00E34188"/>
    <w:rsid w:val="00E34B6E"/>
    <w:rsid w:val="00E35559"/>
    <w:rsid w:val="00E3723A"/>
    <w:rsid w:val="00E37860"/>
    <w:rsid w:val="00E40684"/>
    <w:rsid w:val="00E427C9"/>
    <w:rsid w:val="00E446F1"/>
    <w:rsid w:val="00E46886"/>
    <w:rsid w:val="00E47AEF"/>
    <w:rsid w:val="00E53B75"/>
    <w:rsid w:val="00E54E3B"/>
    <w:rsid w:val="00E57565"/>
    <w:rsid w:val="00E62BE1"/>
    <w:rsid w:val="00E63838"/>
    <w:rsid w:val="00E64434"/>
    <w:rsid w:val="00E67C51"/>
    <w:rsid w:val="00E72EFC"/>
    <w:rsid w:val="00E733C9"/>
    <w:rsid w:val="00E73CCA"/>
    <w:rsid w:val="00E75693"/>
    <w:rsid w:val="00E758EC"/>
    <w:rsid w:val="00E778A3"/>
    <w:rsid w:val="00E81349"/>
    <w:rsid w:val="00E8234C"/>
    <w:rsid w:val="00E830A9"/>
    <w:rsid w:val="00E83AA9"/>
    <w:rsid w:val="00E83AAF"/>
    <w:rsid w:val="00E85928"/>
    <w:rsid w:val="00E87822"/>
    <w:rsid w:val="00E90395"/>
    <w:rsid w:val="00E90E49"/>
    <w:rsid w:val="00E917F9"/>
    <w:rsid w:val="00E9291C"/>
    <w:rsid w:val="00E93D1B"/>
    <w:rsid w:val="00E93FFE"/>
    <w:rsid w:val="00E94F8A"/>
    <w:rsid w:val="00E953C5"/>
    <w:rsid w:val="00E9612D"/>
    <w:rsid w:val="00E9684B"/>
    <w:rsid w:val="00EA0D4B"/>
    <w:rsid w:val="00EA6A77"/>
    <w:rsid w:val="00EA7A41"/>
    <w:rsid w:val="00EB077B"/>
    <w:rsid w:val="00EB40E6"/>
    <w:rsid w:val="00EB427C"/>
    <w:rsid w:val="00EB4EA2"/>
    <w:rsid w:val="00EB5603"/>
    <w:rsid w:val="00EB5935"/>
    <w:rsid w:val="00EB7AED"/>
    <w:rsid w:val="00EC0402"/>
    <w:rsid w:val="00EC0EAF"/>
    <w:rsid w:val="00EC0FEA"/>
    <w:rsid w:val="00EC24D5"/>
    <w:rsid w:val="00EC27C6"/>
    <w:rsid w:val="00EC34F8"/>
    <w:rsid w:val="00EC4207"/>
    <w:rsid w:val="00EC5653"/>
    <w:rsid w:val="00EC5DD4"/>
    <w:rsid w:val="00EC6211"/>
    <w:rsid w:val="00EC71CE"/>
    <w:rsid w:val="00ED1006"/>
    <w:rsid w:val="00ED19E6"/>
    <w:rsid w:val="00EE1687"/>
    <w:rsid w:val="00EF129D"/>
    <w:rsid w:val="00EF18FE"/>
    <w:rsid w:val="00EF1D18"/>
    <w:rsid w:val="00EF2A21"/>
    <w:rsid w:val="00EF4833"/>
    <w:rsid w:val="00EF5787"/>
    <w:rsid w:val="00EF60D0"/>
    <w:rsid w:val="00EF739C"/>
    <w:rsid w:val="00F00613"/>
    <w:rsid w:val="00F03466"/>
    <w:rsid w:val="00F0518F"/>
    <w:rsid w:val="00F0528D"/>
    <w:rsid w:val="00F06C67"/>
    <w:rsid w:val="00F06DFD"/>
    <w:rsid w:val="00F071D1"/>
    <w:rsid w:val="00F07533"/>
    <w:rsid w:val="00F10629"/>
    <w:rsid w:val="00F10B2B"/>
    <w:rsid w:val="00F11021"/>
    <w:rsid w:val="00F11451"/>
    <w:rsid w:val="00F13FFC"/>
    <w:rsid w:val="00F15FA5"/>
    <w:rsid w:val="00F163C2"/>
    <w:rsid w:val="00F17C4E"/>
    <w:rsid w:val="00F17D0F"/>
    <w:rsid w:val="00F209B7"/>
    <w:rsid w:val="00F20F5C"/>
    <w:rsid w:val="00F21AC9"/>
    <w:rsid w:val="00F2376F"/>
    <w:rsid w:val="00F243D8"/>
    <w:rsid w:val="00F27887"/>
    <w:rsid w:val="00F30700"/>
    <w:rsid w:val="00F30828"/>
    <w:rsid w:val="00F313D6"/>
    <w:rsid w:val="00F32DB7"/>
    <w:rsid w:val="00F37795"/>
    <w:rsid w:val="00F3779C"/>
    <w:rsid w:val="00F4039C"/>
    <w:rsid w:val="00F40F0C"/>
    <w:rsid w:val="00F413AF"/>
    <w:rsid w:val="00F436A9"/>
    <w:rsid w:val="00F4766C"/>
    <w:rsid w:val="00F5060E"/>
    <w:rsid w:val="00F507D1"/>
    <w:rsid w:val="00F511C7"/>
    <w:rsid w:val="00F519CE"/>
    <w:rsid w:val="00F51ADA"/>
    <w:rsid w:val="00F52EBB"/>
    <w:rsid w:val="00F549D9"/>
    <w:rsid w:val="00F56319"/>
    <w:rsid w:val="00F60203"/>
    <w:rsid w:val="00F607C5"/>
    <w:rsid w:val="00F60DEA"/>
    <w:rsid w:val="00F61FBC"/>
    <w:rsid w:val="00F62068"/>
    <w:rsid w:val="00F6302A"/>
    <w:rsid w:val="00F63950"/>
    <w:rsid w:val="00F64C2B"/>
    <w:rsid w:val="00F651BE"/>
    <w:rsid w:val="00F66042"/>
    <w:rsid w:val="00F67F53"/>
    <w:rsid w:val="00F703BE"/>
    <w:rsid w:val="00F71F69"/>
    <w:rsid w:val="00F72B72"/>
    <w:rsid w:val="00F7437D"/>
    <w:rsid w:val="00F74BB9"/>
    <w:rsid w:val="00F750E1"/>
    <w:rsid w:val="00F75582"/>
    <w:rsid w:val="00F756B5"/>
    <w:rsid w:val="00F76EFA"/>
    <w:rsid w:val="00F804BE"/>
    <w:rsid w:val="00F817CE"/>
    <w:rsid w:val="00F8456C"/>
    <w:rsid w:val="00F8580C"/>
    <w:rsid w:val="00F859D8"/>
    <w:rsid w:val="00F86659"/>
    <w:rsid w:val="00F868F5"/>
    <w:rsid w:val="00F9056A"/>
    <w:rsid w:val="00F90944"/>
    <w:rsid w:val="00F90F8D"/>
    <w:rsid w:val="00F92782"/>
    <w:rsid w:val="00F93AA9"/>
    <w:rsid w:val="00F93F53"/>
    <w:rsid w:val="00F96985"/>
    <w:rsid w:val="00F97838"/>
    <w:rsid w:val="00F97B43"/>
    <w:rsid w:val="00FA022C"/>
    <w:rsid w:val="00FA153C"/>
    <w:rsid w:val="00FA23C8"/>
    <w:rsid w:val="00FA2BB3"/>
    <w:rsid w:val="00FA3957"/>
    <w:rsid w:val="00FA7E1B"/>
    <w:rsid w:val="00FB2CCA"/>
    <w:rsid w:val="00FB4B5F"/>
    <w:rsid w:val="00FB4C80"/>
    <w:rsid w:val="00FB6A6A"/>
    <w:rsid w:val="00FC0608"/>
    <w:rsid w:val="00FC1940"/>
    <w:rsid w:val="00FC3C30"/>
    <w:rsid w:val="00FC47B3"/>
    <w:rsid w:val="00FC68F5"/>
    <w:rsid w:val="00FC7429"/>
    <w:rsid w:val="00FC7AE6"/>
    <w:rsid w:val="00FD07F6"/>
    <w:rsid w:val="00FD1780"/>
    <w:rsid w:val="00FD1EC8"/>
    <w:rsid w:val="00FD40E5"/>
    <w:rsid w:val="00FD4423"/>
    <w:rsid w:val="00FD47ED"/>
    <w:rsid w:val="00FD6F18"/>
    <w:rsid w:val="00FD74DB"/>
    <w:rsid w:val="00FD7660"/>
    <w:rsid w:val="00FE0655"/>
    <w:rsid w:val="00FE0692"/>
    <w:rsid w:val="00FE1283"/>
    <w:rsid w:val="00FE2365"/>
    <w:rsid w:val="00FE2E55"/>
    <w:rsid w:val="00FE37D7"/>
    <w:rsid w:val="00FE4C7B"/>
    <w:rsid w:val="00FE618C"/>
    <w:rsid w:val="00FE7336"/>
    <w:rsid w:val="00FE787C"/>
    <w:rsid w:val="00FF0116"/>
    <w:rsid w:val="00FF3FCA"/>
    <w:rsid w:val="00FF45A5"/>
    <w:rsid w:val="00FF4949"/>
    <w:rsid w:val="00FF5247"/>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D123E18F-572B-4C46-9582-BADA56152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16"/>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82252">
      <w:bodyDiv w:val="1"/>
      <w:marLeft w:val="0"/>
      <w:marRight w:val="0"/>
      <w:marTop w:val="0"/>
      <w:marBottom w:val="0"/>
      <w:divBdr>
        <w:top w:val="none" w:sz="0" w:space="0" w:color="auto"/>
        <w:left w:val="none" w:sz="0" w:space="0" w:color="auto"/>
        <w:bottom w:val="none" w:sz="0" w:space="0" w:color="auto"/>
        <w:right w:val="none" w:sz="0" w:space="0" w:color="auto"/>
      </w:divBdr>
      <w:divsChild>
        <w:div w:id="321541125">
          <w:marLeft w:val="1123"/>
          <w:marRight w:val="0"/>
          <w:marTop w:val="60"/>
          <w:marBottom w:val="0"/>
          <w:divBdr>
            <w:top w:val="none" w:sz="0" w:space="0" w:color="auto"/>
            <w:left w:val="none" w:sz="0" w:space="0" w:color="auto"/>
            <w:bottom w:val="none" w:sz="0" w:space="0" w:color="auto"/>
            <w:right w:val="none" w:sz="0" w:space="0" w:color="auto"/>
          </w:divBdr>
        </w:div>
        <w:div w:id="613366918">
          <w:marLeft w:val="1123"/>
          <w:marRight w:val="0"/>
          <w:marTop w:val="60"/>
          <w:marBottom w:val="0"/>
          <w:divBdr>
            <w:top w:val="none" w:sz="0" w:space="0" w:color="auto"/>
            <w:left w:val="none" w:sz="0" w:space="0" w:color="auto"/>
            <w:bottom w:val="none" w:sz="0" w:space="0" w:color="auto"/>
            <w:right w:val="none" w:sz="0" w:space="0" w:color="auto"/>
          </w:divBdr>
        </w:div>
        <w:div w:id="792750295">
          <w:marLeft w:val="547"/>
          <w:marRight w:val="0"/>
          <w:marTop w:val="60"/>
          <w:marBottom w:val="0"/>
          <w:divBdr>
            <w:top w:val="none" w:sz="0" w:space="0" w:color="auto"/>
            <w:left w:val="none" w:sz="0" w:space="0" w:color="auto"/>
            <w:bottom w:val="none" w:sz="0" w:space="0" w:color="auto"/>
            <w:right w:val="none" w:sz="0" w:space="0" w:color="auto"/>
          </w:divBdr>
        </w:div>
        <w:div w:id="1400788536">
          <w:marLeft w:val="1123"/>
          <w:marRight w:val="0"/>
          <w:marTop w:val="60"/>
          <w:marBottom w:val="0"/>
          <w:divBdr>
            <w:top w:val="none" w:sz="0" w:space="0" w:color="auto"/>
            <w:left w:val="none" w:sz="0" w:space="0" w:color="auto"/>
            <w:bottom w:val="none" w:sz="0" w:space="0" w:color="auto"/>
            <w:right w:val="none" w:sz="0" w:space="0" w:color="auto"/>
          </w:divBdr>
        </w:div>
        <w:div w:id="1416902657">
          <w:marLeft w:val="1123"/>
          <w:marRight w:val="0"/>
          <w:marTop w:val="60"/>
          <w:marBottom w:val="0"/>
          <w:divBdr>
            <w:top w:val="none" w:sz="0" w:space="0" w:color="auto"/>
            <w:left w:val="none" w:sz="0" w:space="0" w:color="auto"/>
            <w:bottom w:val="none" w:sz="0" w:space="0" w:color="auto"/>
            <w:right w:val="none" w:sz="0" w:space="0" w:color="auto"/>
          </w:divBdr>
        </w:div>
        <w:div w:id="1678574649">
          <w:marLeft w:val="547"/>
          <w:marRight w:val="0"/>
          <w:marTop w:val="60"/>
          <w:marBottom w:val="0"/>
          <w:divBdr>
            <w:top w:val="none" w:sz="0" w:space="0" w:color="auto"/>
            <w:left w:val="none" w:sz="0" w:space="0" w:color="auto"/>
            <w:bottom w:val="none" w:sz="0" w:space="0" w:color="auto"/>
            <w:right w:val="none" w:sz="0" w:space="0" w:color="auto"/>
          </w:divBdr>
        </w:div>
        <w:div w:id="1893538787">
          <w:marLeft w:val="547"/>
          <w:marRight w:val="0"/>
          <w:marTop w:val="60"/>
          <w:marBottom w:val="0"/>
          <w:divBdr>
            <w:top w:val="none" w:sz="0" w:space="0" w:color="auto"/>
            <w:left w:val="none" w:sz="0" w:space="0" w:color="auto"/>
            <w:bottom w:val="none" w:sz="0" w:space="0" w:color="auto"/>
            <w:right w:val="none" w:sz="0" w:space="0" w:color="auto"/>
          </w:divBdr>
        </w:div>
      </w:divsChild>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74824588">
      <w:bodyDiv w:val="1"/>
      <w:marLeft w:val="0"/>
      <w:marRight w:val="0"/>
      <w:marTop w:val="0"/>
      <w:marBottom w:val="0"/>
      <w:divBdr>
        <w:top w:val="none" w:sz="0" w:space="0" w:color="auto"/>
        <w:left w:val="none" w:sz="0" w:space="0" w:color="auto"/>
        <w:bottom w:val="none" w:sz="0" w:space="0" w:color="auto"/>
        <w:right w:val="none" w:sz="0" w:space="0" w:color="auto"/>
      </w:divBdr>
      <w:divsChild>
        <w:div w:id="2146577242">
          <w:marLeft w:val="1123"/>
          <w:marRight w:val="0"/>
          <w:marTop w:val="60"/>
          <w:marBottom w:val="0"/>
          <w:divBdr>
            <w:top w:val="none" w:sz="0" w:space="0" w:color="auto"/>
            <w:left w:val="none" w:sz="0" w:space="0" w:color="auto"/>
            <w:bottom w:val="none" w:sz="0" w:space="0" w:color="auto"/>
            <w:right w:val="none" w:sz="0" w:space="0" w:color="auto"/>
          </w:divBdr>
        </w:div>
      </w:divsChild>
    </w:div>
    <w:div w:id="795607717">
      <w:bodyDiv w:val="1"/>
      <w:marLeft w:val="0"/>
      <w:marRight w:val="0"/>
      <w:marTop w:val="0"/>
      <w:marBottom w:val="0"/>
      <w:divBdr>
        <w:top w:val="none" w:sz="0" w:space="0" w:color="auto"/>
        <w:left w:val="none" w:sz="0" w:space="0" w:color="auto"/>
        <w:bottom w:val="none" w:sz="0" w:space="0" w:color="auto"/>
        <w:right w:val="none" w:sz="0" w:space="0" w:color="auto"/>
      </w:divBdr>
      <w:divsChild>
        <w:div w:id="105471677">
          <w:marLeft w:val="547"/>
          <w:marRight w:val="0"/>
          <w:marTop w:val="60"/>
          <w:marBottom w:val="0"/>
          <w:divBdr>
            <w:top w:val="none" w:sz="0" w:space="0" w:color="auto"/>
            <w:left w:val="none" w:sz="0" w:space="0" w:color="auto"/>
            <w:bottom w:val="none" w:sz="0" w:space="0" w:color="auto"/>
            <w:right w:val="none" w:sz="0" w:space="0" w:color="auto"/>
          </w:divBdr>
        </w:div>
        <w:div w:id="627400643">
          <w:marLeft w:val="547"/>
          <w:marRight w:val="0"/>
          <w:marTop w:val="60"/>
          <w:marBottom w:val="0"/>
          <w:divBdr>
            <w:top w:val="none" w:sz="0" w:space="0" w:color="auto"/>
            <w:left w:val="none" w:sz="0" w:space="0" w:color="auto"/>
            <w:bottom w:val="none" w:sz="0" w:space="0" w:color="auto"/>
            <w:right w:val="none" w:sz="0" w:space="0" w:color="auto"/>
          </w:divBdr>
        </w:div>
        <w:div w:id="945965719">
          <w:marLeft w:val="547"/>
          <w:marRight w:val="0"/>
          <w:marTop w:val="60"/>
          <w:marBottom w:val="0"/>
          <w:divBdr>
            <w:top w:val="none" w:sz="0" w:space="0" w:color="auto"/>
            <w:left w:val="none" w:sz="0" w:space="0" w:color="auto"/>
            <w:bottom w:val="none" w:sz="0" w:space="0" w:color="auto"/>
            <w:right w:val="none" w:sz="0" w:space="0" w:color="auto"/>
          </w:divBdr>
        </w:div>
        <w:div w:id="1275214616">
          <w:marLeft w:val="1123"/>
          <w:marRight w:val="0"/>
          <w:marTop w:val="60"/>
          <w:marBottom w:val="0"/>
          <w:divBdr>
            <w:top w:val="none" w:sz="0" w:space="0" w:color="auto"/>
            <w:left w:val="none" w:sz="0" w:space="0" w:color="auto"/>
            <w:bottom w:val="none" w:sz="0" w:space="0" w:color="auto"/>
            <w:right w:val="none" w:sz="0" w:space="0" w:color="auto"/>
          </w:divBdr>
        </w:div>
        <w:div w:id="1548566642">
          <w:marLeft w:val="1123"/>
          <w:marRight w:val="0"/>
          <w:marTop w:val="60"/>
          <w:marBottom w:val="0"/>
          <w:divBdr>
            <w:top w:val="none" w:sz="0" w:space="0" w:color="auto"/>
            <w:left w:val="none" w:sz="0" w:space="0" w:color="auto"/>
            <w:bottom w:val="none" w:sz="0" w:space="0" w:color="auto"/>
            <w:right w:val="none" w:sz="0" w:space="0" w:color="auto"/>
          </w:divBdr>
        </w:div>
        <w:div w:id="1721129810">
          <w:marLeft w:val="1123"/>
          <w:marRight w:val="0"/>
          <w:marTop w:val="60"/>
          <w:marBottom w:val="0"/>
          <w:divBdr>
            <w:top w:val="none" w:sz="0" w:space="0" w:color="auto"/>
            <w:left w:val="none" w:sz="0" w:space="0" w:color="auto"/>
            <w:bottom w:val="none" w:sz="0" w:space="0" w:color="auto"/>
            <w:right w:val="none" w:sz="0" w:space="0" w:color="auto"/>
          </w:divBdr>
        </w:div>
        <w:div w:id="1918517439">
          <w:marLeft w:val="1123"/>
          <w:marRight w:val="0"/>
          <w:marTop w:val="60"/>
          <w:marBottom w:val="0"/>
          <w:divBdr>
            <w:top w:val="none" w:sz="0" w:space="0" w:color="auto"/>
            <w:left w:val="none" w:sz="0" w:space="0" w:color="auto"/>
            <w:bottom w:val="none" w:sz="0" w:space="0" w:color="auto"/>
            <w:right w:val="none" w:sz="0" w:space="0" w:color="auto"/>
          </w:divBdr>
        </w:div>
        <w:div w:id="1984852297">
          <w:marLeft w:val="1123"/>
          <w:marRight w:val="0"/>
          <w:marTop w:val="60"/>
          <w:marBottom w:val="0"/>
          <w:divBdr>
            <w:top w:val="none" w:sz="0" w:space="0" w:color="auto"/>
            <w:left w:val="none" w:sz="0" w:space="0" w:color="auto"/>
            <w:bottom w:val="none" w:sz="0" w:space="0" w:color="auto"/>
            <w:right w:val="none" w:sz="0" w:space="0" w:color="auto"/>
          </w:divBdr>
        </w:div>
      </w:divsChild>
    </w:div>
    <w:div w:id="950748352">
      <w:bodyDiv w:val="1"/>
      <w:marLeft w:val="0"/>
      <w:marRight w:val="0"/>
      <w:marTop w:val="0"/>
      <w:marBottom w:val="0"/>
      <w:divBdr>
        <w:top w:val="none" w:sz="0" w:space="0" w:color="auto"/>
        <w:left w:val="none" w:sz="0" w:space="0" w:color="auto"/>
        <w:bottom w:val="none" w:sz="0" w:space="0" w:color="auto"/>
        <w:right w:val="none" w:sz="0" w:space="0" w:color="auto"/>
      </w:divBdr>
      <w:divsChild>
        <w:div w:id="591817186">
          <w:marLeft w:val="1123"/>
          <w:marRight w:val="0"/>
          <w:marTop w:val="60"/>
          <w:marBottom w:val="0"/>
          <w:divBdr>
            <w:top w:val="none" w:sz="0" w:space="0" w:color="auto"/>
            <w:left w:val="none" w:sz="0" w:space="0" w:color="auto"/>
            <w:bottom w:val="none" w:sz="0" w:space="0" w:color="auto"/>
            <w:right w:val="none" w:sz="0" w:space="0" w:color="auto"/>
          </w:divBdr>
        </w:div>
      </w:divsChild>
    </w:div>
    <w:div w:id="1035690144">
      <w:bodyDiv w:val="1"/>
      <w:marLeft w:val="0"/>
      <w:marRight w:val="0"/>
      <w:marTop w:val="0"/>
      <w:marBottom w:val="0"/>
      <w:divBdr>
        <w:top w:val="none" w:sz="0" w:space="0" w:color="auto"/>
        <w:left w:val="none" w:sz="0" w:space="0" w:color="auto"/>
        <w:bottom w:val="none" w:sz="0" w:space="0" w:color="auto"/>
        <w:right w:val="none" w:sz="0" w:space="0" w:color="auto"/>
      </w:divBdr>
      <w:divsChild>
        <w:div w:id="257832128">
          <w:marLeft w:val="547"/>
          <w:marRight w:val="0"/>
          <w:marTop w:val="60"/>
          <w:marBottom w:val="0"/>
          <w:divBdr>
            <w:top w:val="none" w:sz="0" w:space="0" w:color="auto"/>
            <w:left w:val="none" w:sz="0" w:space="0" w:color="auto"/>
            <w:bottom w:val="none" w:sz="0" w:space="0" w:color="auto"/>
            <w:right w:val="none" w:sz="0" w:space="0" w:color="auto"/>
          </w:divBdr>
        </w:div>
        <w:div w:id="428090180">
          <w:marLeft w:val="547"/>
          <w:marRight w:val="0"/>
          <w:marTop w:val="60"/>
          <w:marBottom w:val="0"/>
          <w:divBdr>
            <w:top w:val="none" w:sz="0" w:space="0" w:color="auto"/>
            <w:left w:val="none" w:sz="0" w:space="0" w:color="auto"/>
            <w:bottom w:val="none" w:sz="0" w:space="0" w:color="auto"/>
            <w:right w:val="none" w:sz="0" w:space="0" w:color="auto"/>
          </w:divBdr>
        </w:div>
        <w:div w:id="610479625">
          <w:marLeft w:val="547"/>
          <w:marRight w:val="0"/>
          <w:marTop w:val="60"/>
          <w:marBottom w:val="0"/>
          <w:divBdr>
            <w:top w:val="none" w:sz="0" w:space="0" w:color="auto"/>
            <w:left w:val="none" w:sz="0" w:space="0" w:color="auto"/>
            <w:bottom w:val="none" w:sz="0" w:space="0" w:color="auto"/>
            <w:right w:val="none" w:sz="0" w:space="0" w:color="auto"/>
          </w:divBdr>
        </w:div>
        <w:div w:id="1042553986">
          <w:marLeft w:val="1123"/>
          <w:marRight w:val="0"/>
          <w:marTop w:val="60"/>
          <w:marBottom w:val="0"/>
          <w:divBdr>
            <w:top w:val="none" w:sz="0" w:space="0" w:color="auto"/>
            <w:left w:val="none" w:sz="0" w:space="0" w:color="auto"/>
            <w:bottom w:val="none" w:sz="0" w:space="0" w:color="auto"/>
            <w:right w:val="none" w:sz="0" w:space="0" w:color="auto"/>
          </w:divBdr>
        </w:div>
        <w:div w:id="1368291751">
          <w:marLeft w:val="1123"/>
          <w:marRight w:val="0"/>
          <w:marTop w:val="60"/>
          <w:marBottom w:val="0"/>
          <w:divBdr>
            <w:top w:val="none" w:sz="0" w:space="0" w:color="auto"/>
            <w:left w:val="none" w:sz="0" w:space="0" w:color="auto"/>
            <w:bottom w:val="none" w:sz="0" w:space="0" w:color="auto"/>
            <w:right w:val="none" w:sz="0" w:space="0" w:color="auto"/>
          </w:divBdr>
        </w:div>
        <w:div w:id="1469318522">
          <w:marLeft w:val="1123"/>
          <w:marRight w:val="0"/>
          <w:marTop w:val="60"/>
          <w:marBottom w:val="0"/>
          <w:divBdr>
            <w:top w:val="none" w:sz="0" w:space="0" w:color="auto"/>
            <w:left w:val="none" w:sz="0" w:space="0" w:color="auto"/>
            <w:bottom w:val="none" w:sz="0" w:space="0" w:color="auto"/>
            <w:right w:val="none" w:sz="0" w:space="0" w:color="auto"/>
          </w:divBdr>
        </w:div>
        <w:div w:id="1509371199">
          <w:marLeft w:val="1123"/>
          <w:marRight w:val="0"/>
          <w:marTop w:val="60"/>
          <w:marBottom w:val="0"/>
          <w:divBdr>
            <w:top w:val="none" w:sz="0" w:space="0" w:color="auto"/>
            <w:left w:val="none" w:sz="0" w:space="0" w:color="auto"/>
            <w:bottom w:val="none" w:sz="0" w:space="0" w:color="auto"/>
            <w:right w:val="none" w:sz="0" w:space="0" w:color="auto"/>
          </w:divBdr>
        </w:div>
        <w:div w:id="1536962732">
          <w:marLeft w:val="1123"/>
          <w:marRight w:val="0"/>
          <w:marTop w:val="60"/>
          <w:marBottom w:val="0"/>
          <w:divBdr>
            <w:top w:val="none" w:sz="0" w:space="0" w:color="auto"/>
            <w:left w:val="none" w:sz="0" w:space="0" w:color="auto"/>
            <w:bottom w:val="none" w:sz="0" w:space="0" w:color="auto"/>
            <w:right w:val="none" w:sz="0" w:space="0" w:color="auto"/>
          </w:divBdr>
        </w:div>
        <w:div w:id="1597864151">
          <w:marLeft w:val="1123"/>
          <w:marRight w:val="0"/>
          <w:marTop w:val="60"/>
          <w:marBottom w:val="0"/>
          <w:divBdr>
            <w:top w:val="none" w:sz="0" w:space="0" w:color="auto"/>
            <w:left w:val="none" w:sz="0" w:space="0" w:color="auto"/>
            <w:bottom w:val="none" w:sz="0" w:space="0" w:color="auto"/>
            <w:right w:val="none" w:sz="0" w:space="0" w:color="auto"/>
          </w:divBdr>
        </w:div>
        <w:div w:id="1803383600">
          <w:marLeft w:val="1123"/>
          <w:marRight w:val="0"/>
          <w:marTop w:val="60"/>
          <w:marBottom w:val="0"/>
          <w:divBdr>
            <w:top w:val="none" w:sz="0" w:space="0" w:color="auto"/>
            <w:left w:val="none" w:sz="0" w:space="0" w:color="auto"/>
            <w:bottom w:val="none" w:sz="0" w:space="0" w:color="auto"/>
            <w:right w:val="none" w:sz="0" w:space="0" w:color="auto"/>
          </w:divBdr>
        </w:div>
        <w:div w:id="1824349695">
          <w:marLeft w:val="547"/>
          <w:marRight w:val="0"/>
          <w:marTop w:val="60"/>
          <w:marBottom w:val="0"/>
          <w:divBdr>
            <w:top w:val="none" w:sz="0" w:space="0" w:color="auto"/>
            <w:left w:val="none" w:sz="0" w:space="0" w:color="auto"/>
            <w:bottom w:val="none" w:sz="0" w:space="0" w:color="auto"/>
            <w:right w:val="none" w:sz="0" w:space="0" w:color="auto"/>
          </w:divBdr>
        </w:div>
        <w:div w:id="2017413938">
          <w:marLeft w:val="1123"/>
          <w:marRight w:val="0"/>
          <w:marTop w:val="6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470047675">
      <w:bodyDiv w:val="1"/>
      <w:marLeft w:val="0"/>
      <w:marRight w:val="0"/>
      <w:marTop w:val="0"/>
      <w:marBottom w:val="0"/>
      <w:divBdr>
        <w:top w:val="none" w:sz="0" w:space="0" w:color="auto"/>
        <w:left w:val="none" w:sz="0" w:space="0" w:color="auto"/>
        <w:bottom w:val="none" w:sz="0" w:space="0" w:color="auto"/>
        <w:right w:val="none" w:sz="0" w:space="0" w:color="auto"/>
      </w:divBdr>
      <w:divsChild>
        <w:div w:id="863207298">
          <w:marLeft w:val="547"/>
          <w:marRight w:val="0"/>
          <w:marTop w:val="60"/>
          <w:marBottom w:val="0"/>
          <w:divBdr>
            <w:top w:val="none" w:sz="0" w:space="0" w:color="auto"/>
            <w:left w:val="none" w:sz="0" w:space="0" w:color="auto"/>
            <w:bottom w:val="none" w:sz="0" w:space="0" w:color="auto"/>
            <w:right w:val="none" w:sz="0" w:space="0" w:color="auto"/>
          </w:divBdr>
        </w:div>
        <w:div w:id="972755415">
          <w:marLeft w:val="1123"/>
          <w:marRight w:val="0"/>
          <w:marTop w:val="60"/>
          <w:marBottom w:val="0"/>
          <w:divBdr>
            <w:top w:val="none" w:sz="0" w:space="0" w:color="auto"/>
            <w:left w:val="none" w:sz="0" w:space="0" w:color="auto"/>
            <w:bottom w:val="none" w:sz="0" w:space="0" w:color="auto"/>
            <w:right w:val="none" w:sz="0" w:space="0" w:color="auto"/>
          </w:divBdr>
        </w:div>
        <w:div w:id="1134832197">
          <w:marLeft w:val="1123"/>
          <w:marRight w:val="0"/>
          <w:marTop w:val="60"/>
          <w:marBottom w:val="0"/>
          <w:divBdr>
            <w:top w:val="none" w:sz="0" w:space="0" w:color="auto"/>
            <w:left w:val="none" w:sz="0" w:space="0" w:color="auto"/>
            <w:bottom w:val="none" w:sz="0" w:space="0" w:color="auto"/>
            <w:right w:val="none" w:sz="0" w:space="0" w:color="auto"/>
          </w:divBdr>
        </w:div>
        <w:div w:id="1683049608">
          <w:marLeft w:val="1123"/>
          <w:marRight w:val="0"/>
          <w:marTop w:val="60"/>
          <w:marBottom w:val="0"/>
          <w:divBdr>
            <w:top w:val="none" w:sz="0" w:space="0" w:color="auto"/>
            <w:left w:val="none" w:sz="0" w:space="0" w:color="auto"/>
            <w:bottom w:val="none" w:sz="0" w:space="0" w:color="auto"/>
            <w:right w:val="none" w:sz="0" w:space="0" w:color="auto"/>
          </w:divBdr>
        </w:div>
        <w:div w:id="1889602945">
          <w:marLeft w:val="547"/>
          <w:marRight w:val="0"/>
          <w:marTop w:val="60"/>
          <w:marBottom w:val="0"/>
          <w:divBdr>
            <w:top w:val="none" w:sz="0" w:space="0" w:color="auto"/>
            <w:left w:val="none" w:sz="0" w:space="0" w:color="auto"/>
            <w:bottom w:val="none" w:sz="0" w:space="0" w:color="auto"/>
            <w:right w:val="none" w:sz="0" w:space="0" w:color="auto"/>
          </w:divBdr>
        </w:div>
        <w:div w:id="1972242875">
          <w:marLeft w:val="547"/>
          <w:marRight w:val="0"/>
          <w:marTop w:val="60"/>
          <w:marBottom w:val="0"/>
          <w:divBdr>
            <w:top w:val="none" w:sz="0" w:space="0" w:color="auto"/>
            <w:left w:val="none" w:sz="0" w:space="0" w:color="auto"/>
            <w:bottom w:val="none" w:sz="0" w:space="0" w:color="auto"/>
            <w:right w:val="none" w:sz="0" w:space="0" w:color="auto"/>
          </w:divBdr>
        </w:div>
      </w:divsChild>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0527750">
      <w:bodyDiv w:val="1"/>
      <w:marLeft w:val="0"/>
      <w:marRight w:val="0"/>
      <w:marTop w:val="0"/>
      <w:marBottom w:val="0"/>
      <w:divBdr>
        <w:top w:val="none" w:sz="0" w:space="0" w:color="auto"/>
        <w:left w:val="none" w:sz="0" w:space="0" w:color="auto"/>
        <w:bottom w:val="none" w:sz="0" w:space="0" w:color="auto"/>
        <w:right w:val="none" w:sz="0" w:space="0" w:color="auto"/>
      </w:divBdr>
      <w:divsChild>
        <w:div w:id="147470994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4D5CF-F1B3-478A-97FC-BB6847512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074756C-31C2-426C-BD36-35564B315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2760</TotalTime>
  <Pages>3</Pages>
  <Words>5706</Words>
  <Characters>32526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38156</CharactersWithSpaces>
  <SharedDoc>false</SharedDoc>
  <HLinks>
    <vt:vector size="162" baseType="variant">
      <vt:variant>
        <vt:i4>8060928</vt:i4>
      </vt:variant>
      <vt:variant>
        <vt:i4>120</vt:i4>
      </vt:variant>
      <vt:variant>
        <vt:i4>0</vt:i4>
      </vt:variant>
      <vt:variant>
        <vt:i4>5</vt:i4>
      </vt:variant>
      <vt:variant>
        <vt:lpwstr>mailto:3GPPLiaison@etsi.org</vt:lpwstr>
      </vt:variant>
      <vt:variant>
        <vt:lpwstr/>
      </vt:variant>
      <vt:variant>
        <vt:i4>1572971</vt:i4>
      </vt:variant>
      <vt:variant>
        <vt:i4>117</vt:i4>
      </vt:variant>
      <vt:variant>
        <vt:i4>0</vt:i4>
      </vt:variant>
      <vt:variant>
        <vt:i4>5</vt:i4>
      </vt:variant>
      <vt:variant>
        <vt:lpwstr>http://www.3gpp.org/ftp/tsg_ran/WG2_RL2//TSGR2_112-e/Docs//R2-2010062.zip</vt:lpwstr>
      </vt:variant>
      <vt:variant>
        <vt:lpwstr/>
      </vt:variant>
      <vt:variant>
        <vt:i4>1835115</vt:i4>
      </vt:variant>
      <vt:variant>
        <vt:i4>114</vt:i4>
      </vt:variant>
      <vt:variant>
        <vt:i4>0</vt:i4>
      </vt:variant>
      <vt:variant>
        <vt:i4>5</vt:i4>
      </vt:variant>
      <vt:variant>
        <vt:lpwstr>http://www.3gpp.org/ftp/tsg_ran/WG2_RL2//TSGR2_112-e/Docs//R2-2010123.zip</vt:lpwstr>
      </vt:variant>
      <vt:variant>
        <vt:lpwstr/>
      </vt:variant>
      <vt:variant>
        <vt:i4>1900595</vt:i4>
      </vt:variant>
      <vt:variant>
        <vt:i4>110</vt:i4>
      </vt:variant>
      <vt:variant>
        <vt:i4>0</vt:i4>
      </vt:variant>
      <vt:variant>
        <vt:i4>5</vt:i4>
      </vt:variant>
      <vt:variant>
        <vt:lpwstr/>
      </vt:variant>
      <vt:variant>
        <vt:lpwstr>_Toc61461508</vt:lpwstr>
      </vt:variant>
      <vt:variant>
        <vt:i4>1179699</vt:i4>
      </vt:variant>
      <vt:variant>
        <vt:i4>107</vt:i4>
      </vt:variant>
      <vt:variant>
        <vt:i4>0</vt:i4>
      </vt:variant>
      <vt:variant>
        <vt:i4>5</vt:i4>
      </vt:variant>
      <vt:variant>
        <vt:lpwstr/>
      </vt:variant>
      <vt:variant>
        <vt:lpwstr>_Toc61461507</vt:lpwstr>
      </vt:variant>
      <vt:variant>
        <vt:i4>1245235</vt:i4>
      </vt:variant>
      <vt:variant>
        <vt:i4>104</vt:i4>
      </vt:variant>
      <vt:variant>
        <vt:i4>0</vt:i4>
      </vt:variant>
      <vt:variant>
        <vt:i4>5</vt:i4>
      </vt:variant>
      <vt:variant>
        <vt:lpwstr/>
      </vt:variant>
      <vt:variant>
        <vt:lpwstr>_Toc61461506</vt:lpwstr>
      </vt:variant>
      <vt:variant>
        <vt:i4>1048627</vt:i4>
      </vt:variant>
      <vt:variant>
        <vt:i4>101</vt:i4>
      </vt:variant>
      <vt:variant>
        <vt:i4>0</vt:i4>
      </vt:variant>
      <vt:variant>
        <vt:i4>5</vt:i4>
      </vt:variant>
      <vt:variant>
        <vt:lpwstr/>
      </vt:variant>
      <vt:variant>
        <vt:lpwstr>_Toc61461505</vt:lpwstr>
      </vt:variant>
      <vt:variant>
        <vt:i4>1114163</vt:i4>
      </vt:variant>
      <vt:variant>
        <vt:i4>98</vt:i4>
      </vt:variant>
      <vt:variant>
        <vt:i4>0</vt:i4>
      </vt:variant>
      <vt:variant>
        <vt:i4>5</vt:i4>
      </vt:variant>
      <vt:variant>
        <vt:lpwstr/>
      </vt:variant>
      <vt:variant>
        <vt:lpwstr>_Toc61461504</vt:lpwstr>
      </vt:variant>
      <vt:variant>
        <vt:i4>1441843</vt:i4>
      </vt:variant>
      <vt:variant>
        <vt:i4>95</vt:i4>
      </vt:variant>
      <vt:variant>
        <vt:i4>0</vt:i4>
      </vt:variant>
      <vt:variant>
        <vt:i4>5</vt:i4>
      </vt:variant>
      <vt:variant>
        <vt:lpwstr/>
      </vt:variant>
      <vt:variant>
        <vt:lpwstr>_Toc61461503</vt:lpwstr>
      </vt:variant>
      <vt:variant>
        <vt:i4>1507379</vt:i4>
      </vt:variant>
      <vt:variant>
        <vt:i4>92</vt:i4>
      </vt:variant>
      <vt:variant>
        <vt:i4>0</vt:i4>
      </vt:variant>
      <vt:variant>
        <vt:i4>5</vt:i4>
      </vt:variant>
      <vt:variant>
        <vt:lpwstr/>
      </vt:variant>
      <vt:variant>
        <vt:lpwstr>_Toc61461502</vt:lpwstr>
      </vt:variant>
      <vt:variant>
        <vt:i4>1310771</vt:i4>
      </vt:variant>
      <vt:variant>
        <vt:i4>89</vt:i4>
      </vt:variant>
      <vt:variant>
        <vt:i4>0</vt:i4>
      </vt:variant>
      <vt:variant>
        <vt:i4>5</vt:i4>
      </vt:variant>
      <vt:variant>
        <vt:lpwstr/>
      </vt:variant>
      <vt:variant>
        <vt:lpwstr>_Toc61461501</vt:lpwstr>
      </vt:variant>
      <vt:variant>
        <vt:i4>1376307</vt:i4>
      </vt:variant>
      <vt:variant>
        <vt:i4>86</vt:i4>
      </vt:variant>
      <vt:variant>
        <vt:i4>0</vt:i4>
      </vt:variant>
      <vt:variant>
        <vt:i4>5</vt:i4>
      </vt:variant>
      <vt:variant>
        <vt:lpwstr/>
      </vt:variant>
      <vt:variant>
        <vt:lpwstr>_Toc61461500</vt:lpwstr>
      </vt:variant>
      <vt:variant>
        <vt:i4>1900602</vt:i4>
      </vt:variant>
      <vt:variant>
        <vt:i4>83</vt:i4>
      </vt:variant>
      <vt:variant>
        <vt:i4>0</vt:i4>
      </vt:variant>
      <vt:variant>
        <vt:i4>5</vt:i4>
      </vt:variant>
      <vt:variant>
        <vt:lpwstr/>
      </vt:variant>
      <vt:variant>
        <vt:lpwstr>_Toc61461499</vt:lpwstr>
      </vt:variant>
      <vt:variant>
        <vt:i4>1835066</vt:i4>
      </vt:variant>
      <vt:variant>
        <vt:i4>80</vt:i4>
      </vt:variant>
      <vt:variant>
        <vt:i4>0</vt:i4>
      </vt:variant>
      <vt:variant>
        <vt:i4>5</vt:i4>
      </vt:variant>
      <vt:variant>
        <vt:lpwstr/>
      </vt:variant>
      <vt:variant>
        <vt:lpwstr>_Toc61461498</vt:lpwstr>
      </vt:variant>
      <vt:variant>
        <vt:i4>1245242</vt:i4>
      </vt:variant>
      <vt:variant>
        <vt:i4>77</vt:i4>
      </vt:variant>
      <vt:variant>
        <vt:i4>0</vt:i4>
      </vt:variant>
      <vt:variant>
        <vt:i4>5</vt:i4>
      </vt:variant>
      <vt:variant>
        <vt:lpwstr/>
      </vt:variant>
      <vt:variant>
        <vt:lpwstr>_Toc61461497</vt:lpwstr>
      </vt:variant>
      <vt:variant>
        <vt:i4>1179706</vt:i4>
      </vt:variant>
      <vt:variant>
        <vt:i4>74</vt:i4>
      </vt:variant>
      <vt:variant>
        <vt:i4>0</vt:i4>
      </vt:variant>
      <vt:variant>
        <vt:i4>5</vt:i4>
      </vt:variant>
      <vt:variant>
        <vt:lpwstr/>
      </vt:variant>
      <vt:variant>
        <vt:lpwstr>_Toc61461496</vt:lpwstr>
      </vt:variant>
      <vt:variant>
        <vt:i4>1114170</vt:i4>
      </vt:variant>
      <vt:variant>
        <vt:i4>71</vt:i4>
      </vt:variant>
      <vt:variant>
        <vt:i4>0</vt:i4>
      </vt:variant>
      <vt:variant>
        <vt:i4>5</vt:i4>
      </vt:variant>
      <vt:variant>
        <vt:lpwstr/>
      </vt:variant>
      <vt:variant>
        <vt:lpwstr>_Toc61461495</vt:lpwstr>
      </vt:variant>
      <vt:variant>
        <vt:i4>1048634</vt:i4>
      </vt:variant>
      <vt:variant>
        <vt:i4>65</vt:i4>
      </vt:variant>
      <vt:variant>
        <vt:i4>0</vt:i4>
      </vt:variant>
      <vt:variant>
        <vt:i4>5</vt:i4>
      </vt:variant>
      <vt:variant>
        <vt:lpwstr/>
      </vt:variant>
      <vt:variant>
        <vt:lpwstr>_Toc61461494</vt:lpwstr>
      </vt:variant>
      <vt:variant>
        <vt:i4>1507386</vt:i4>
      </vt:variant>
      <vt:variant>
        <vt:i4>62</vt:i4>
      </vt:variant>
      <vt:variant>
        <vt:i4>0</vt:i4>
      </vt:variant>
      <vt:variant>
        <vt:i4>5</vt:i4>
      </vt:variant>
      <vt:variant>
        <vt:lpwstr/>
      </vt:variant>
      <vt:variant>
        <vt:lpwstr>_Toc61461493</vt:lpwstr>
      </vt:variant>
      <vt:variant>
        <vt:i4>1441850</vt:i4>
      </vt:variant>
      <vt:variant>
        <vt:i4>59</vt:i4>
      </vt:variant>
      <vt:variant>
        <vt:i4>0</vt:i4>
      </vt:variant>
      <vt:variant>
        <vt:i4>5</vt:i4>
      </vt:variant>
      <vt:variant>
        <vt:lpwstr/>
      </vt:variant>
      <vt:variant>
        <vt:lpwstr>_Toc61461492</vt:lpwstr>
      </vt:variant>
      <vt:variant>
        <vt:i4>1376314</vt:i4>
      </vt:variant>
      <vt:variant>
        <vt:i4>56</vt:i4>
      </vt:variant>
      <vt:variant>
        <vt:i4>0</vt:i4>
      </vt:variant>
      <vt:variant>
        <vt:i4>5</vt:i4>
      </vt:variant>
      <vt:variant>
        <vt:lpwstr/>
      </vt:variant>
      <vt:variant>
        <vt:lpwstr>_Toc61461491</vt:lpwstr>
      </vt:variant>
      <vt:variant>
        <vt:i4>1310778</vt:i4>
      </vt:variant>
      <vt:variant>
        <vt:i4>53</vt:i4>
      </vt:variant>
      <vt:variant>
        <vt:i4>0</vt:i4>
      </vt:variant>
      <vt:variant>
        <vt:i4>5</vt:i4>
      </vt:variant>
      <vt:variant>
        <vt:lpwstr/>
      </vt:variant>
      <vt:variant>
        <vt:lpwstr>_Toc61461490</vt:lpwstr>
      </vt:variant>
      <vt:variant>
        <vt:i4>1900603</vt:i4>
      </vt:variant>
      <vt:variant>
        <vt:i4>50</vt:i4>
      </vt:variant>
      <vt:variant>
        <vt:i4>0</vt:i4>
      </vt:variant>
      <vt:variant>
        <vt:i4>5</vt:i4>
      </vt:variant>
      <vt:variant>
        <vt:lpwstr/>
      </vt:variant>
      <vt:variant>
        <vt:lpwstr>_Toc61461489</vt:lpwstr>
      </vt:variant>
      <vt:variant>
        <vt:i4>1835067</vt:i4>
      </vt:variant>
      <vt:variant>
        <vt:i4>47</vt:i4>
      </vt:variant>
      <vt:variant>
        <vt:i4>0</vt:i4>
      </vt:variant>
      <vt:variant>
        <vt:i4>5</vt:i4>
      </vt:variant>
      <vt:variant>
        <vt:lpwstr/>
      </vt:variant>
      <vt:variant>
        <vt:lpwstr>_Toc61461488</vt:lpwstr>
      </vt:variant>
      <vt:variant>
        <vt:i4>1245243</vt:i4>
      </vt:variant>
      <vt:variant>
        <vt:i4>44</vt:i4>
      </vt:variant>
      <vt:variant>
        <vt:i4>0</vt:i4>
      </vt:variant>
      <vt:variant>
        <vt:i4>5</vt:i4>
      </vt:variant>
      <vt:variant>
        <vt:lpwstr/>
      </vt:variant>
      <vt:variant>
        <vt:lpwstr>_Toc61461487</vt:lpwstr>
      </vt:variant>
      <vt:variant>
        <vt:i4>1179707</vt:i4>
      </vt:variant>
      <vt:variant>
        <vt:i4>41</vt:i4>
      </vt:variant>
      <vt:variant>
        <vt:i4>0</vt:i4>
      </vt:variant>
      <vt:variant>
        <vt:i4>5</vt:i4>
      </vt:variant>
      <vt:variant>
        <vt:lpwstr/>
      </vt:variant>
      <vt:variant>
        <vt:lpwstr>_Toc61461486</vt:lpwstr>
      </vt:variant>
      <vt:variant>
        <vt:i4>1114171</vt:i4>
      </vt:variant>
      <vt:variant>
        <vt:i4>38</vt:i4>
      </vt:variant>
      <vt:variant>
        <vt:i4>0</vt:i4>
      </vt:variant>
      <vt:variant>
        <vt:i4>5</vt:i4>
      </vt:variant>
      <vt:variant>
        <vt:lpwstr/>
      </vt:variant>
      <vt:variant>
        <vt:lpwstr>_Toc61461485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97</cp:revision>
  <cp:lastPrinted>2008-02-01T01:09:00Z</cp:lastPrinted>
  <dcterms:created xsi:type="dcterms:W3CDTF">2020-12-09T01:11:00Z</dcterms:created>
  <dcterms:modified xsi:type="dcterms:W3CDTF">2021-01-14T20:52:00Z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